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7C39E" w14:textId="04D34FF5" w:rsidR="009D3CCA" w:rsidRPr="004D309F" w:rsidRDefault="00E47F04" w:rsidP="00E07F14">
      <w:pPr>
        <w:widowControl w:val="0"/>
        <w:jc w:val="center"/>
        <w:rPr>
          <w:rFonts w:ascii="Calibri" w:hAnsi="Calibri" w:cs="Calibri"/>
          <w:caps/>
          <w:spacing w:val="120"/>
          <w:sz w:val="36"/>
          <w:szCs w:val="36"/>
          <w:lang w:val="en-US"/>
        </w:rPr>
      </w:pPr>
      <w:r w:rsidRPr="004D309F">
        <w:rPr>
          <w:rFonts w:ascii="Calibri" w:hAnsi="Calibri" w:cs="Calibri"/>
          <w:caps/>
          <w:spacing w:val="120"/>
          <w:sz w:val="36"/>
          <w:szCs w:val="36"/>
          <w:lang w:val="en-US"/>
        </w:rPr>
        <w:t>I</w:t>
      </w:r>
      <w:r w:rsidR="009D3CCA" w:rsidRPr="004D309F">
        <w:rPr>
          <w:rFonts w:ascii="Calibri" w:hAnsi="Calibri" w:cs="Calibri"/>
          <w:caps/>
          <w:spacing w:val="120"/>
          <w:sz w:val="36"/>
          <w:szCs w:val="36"/>
          <w:lang w:val="en-US"/>
        </w:rPr>
        <w:t>Sle of Wight</w:t>
      </w:r>
    </w:p>
    <w:p w14:paraId="1840428F" w14:textId="211683B7" w:rsidR="00E47F04" w:rsidRPr="004D309F" w:rsidRDefault="00E47F04" w:rsidP="00E47F04">
      <w:pPr>
        <w:widowControl w:val="0"/>
        <w:jc w:val="center"/>
        <w:rPr>
          <w:rFonts w:ascii="Calibri" w:hAnsi="Calibri" w:cs="Calibri"/>
          <w:caps/>
          <w:spacing w:val="120"/>
          <w:sz w:val="36"/>
          <w:szCs w:val="36"/>
          <w:lang w:val="en-US"/>
        </w:rPr>
      </w:pPr>
      <w:r w:rsidRPr="004D309F">
        <w:rPr>
          <w:rFonts w:ascii="Calibri" w:hAnsi="Calibri" w:cs="Calibri"/>
          <w:caps/>
          <w:spacing w:val="120"/>
          <w:sz w:val="36"/>
          <w:szCs w:val="36"/>
          <w:lang w:val="en-US"/>
        </w:rPr>
        <w:t>LIVESTOCK COLLECTIoN CENTRE</w:t>
      </w:r>
    </w:p>
    <w:p w14:paraId="1B89FDEB" w14:textId="63B01527" w:rsidR="009D3CCA" w:rsidRPr="00A00377" w:rsidRDefault="009D3CCA" w:rsidP="00A00377">
      <w:pPr>
        <w:widowControl w:val="0"/>
        <w:jc w:val="center"/>
        <w:rPr>
          <w:rFonts w:ascii="Calibri" w:hAnsi="Calibri" w:cs="Calibri"/>
          <w:caps/>
          <w:color w:val="17495D"/>
          <w:spacing w:val="120"/>
          <w:sz w:val="36"/>
          <w:szCs w:val="36"/>
          <w:lang w:val="en-US"/>
        </w:rPr>
      </w:pPr>
      <w:r w:rsidRPr="004D309F">
        <w:rPr>
          <w:rFonts w:ascii="Calibri" w:hAnsi="Calibri" w:cs="Calibri"/>
          <w:caps/>
          <w:spacing w:val="120"/>
          <w:sz w:val="36"/>
          <w:szCs w:val="36"/>
          <w:lang w:val="en-US"/>
        </w:rPr>
        <w:t>FEASIBILITY STUDY</w:t>
      </w:r>
    </w:p>
    <w:p w14:paraId="7E97EA7B" w14:textId="77777777" w:rsidR="005B0155" w:rsidRDefault="005B0155" w:rsidP="005B0155">
      <w:pPr>
        <w:ind w:left="851"/>
        <w:jc w:val="both"/>
        <w:rPr>
          <w:rFonts w:asciiTheme="minorHAnsi" w:hAnsiTheme="minorHAnsi"/>
          <w:b/>
          <w:bCs/>
          <w:sz w:val="22"/>
          <w:szCs w:val="22"/>
          <w:lang w:val="en-US"/>
        </w:rPr>
      </w:pPr>
    </w:p>
    <w:p w14:paraId="187FF6E1" w14:textId="77777777" w:rsidR="006F246D" w:rsidRDefault="006F246D" w:rsidP="006F246D">
      <w:pPr>
        <w:ind w:left="283" w:right="283"/>
        <w:jc w:val="both"/>
        <w:rPr>
          <w:rFonts w:asciiTheme="minorHAnsi" w:hAnsiTheme="minorHAnsi"/>
          <w:b/>
          <w:bCs/>
          <w:sz w:val="22"/>
          <w:szCs w:val="22"/>
          <w:lang w:val="en-US"/>
        </w:rPr>
      </w:pPr>
    </w:p>
    <w:p w14:paraId="7D0556D2" w14:textId="22364EF6" w:rsidR="005B0155" w:rsidRDefault="00C90F14" w:rsidP="006F246D">
      <w:pPr>
        <w:ind w:left="283" w:right="283"/>
        <w:jc w:val="both"/>
        <w:rPr>
          <w:rFonts w:asciiTheme="minorHAnsi" w:hAnsiTheme="minorHAnsi"/>
          <w:b/>
          <w:bCs/>
          <w:sz w:val="22"/>
          <w:szCs w:val="22"/>
          <w:lang w:val="en-US"/>
        </w:rPr>
      </w:pPr>
      <w:r>
        <w:rPr>
          <w:rFonts w:asciiTheme="minorHAnsi" w:hAnsiTheme="minorHAnsi"/>
          <w:b/>
          <w:bCs/>
          <w:sz w:val="22"/>
          <w:szCs w:val="22"/>
          <w:lang w:val="en-US"/>
        </w:rPr>
        <w:t>Introduction</w:t>
      </w:r>
    </w:p>
    <w:p w14:paraId="598810D1" w14:textId="448C1E63" w:rsidR="00E47F04" w:rsidRPr="005B0155" w:rsidRDefault="00E47F04" w:rsidP="006F246D">
      <w:pPr>
        <w:ind w:left="283" w:right="283"/>
        <w:jc w:val="both"/>
        <w:rPr>
          <w:rFonts w:asciiTheme="minorHAnsi" w:hAnsiTheme="minorHAnsi"/>
          <w:b/>
          <w:bCs/>
          <w:sz w:val="22"/>
          <w:szCs w:val="22"/>
          <w:lang w:val="en-US"/>
        </w:rPr>
      </w:pPr>
      <w:r>
        <w:rPr>
          <w:rFonts w:asciiTheme="minorHAnsi" w:hAnsiTheme="minorHAnsi"/>
          <w:sz w:val="22"/>
          <w:szCs w:val="22"/>
        </w:rPr>
        <w:t>Th</w:t>
      </w:r>
      <w:r w:rsidR="005B0155">
        <w:rPr>
          <w:rFonts w:asciiTheme="minorHAnsi" w:hAnsiTheme="minorHAnsi"/>
          <w:sz w:val="22"/>
          <w:szCs w:val="22"/>
        </w:rPr>
        <w:t>e</w:t>
      </w:r>
      <w:r>
        <w:rPr>
          <w:rFonts w:asciiTheme="minorHAnsi" w:hAnsiTheme="minorHAnsi"/>
          <w:sz w:val="22"/>
          <w:szCs w:val="22"/>
        </w:rPr>
        <w:t xml:space="preserve"> Isle of Wight Council</w:t>
      </w:r>
      <w:r w:rsidR="00D51C2E">
        <w:rPr>
          <w:rFonts w:asciiTheme="minorHAnsi" w:hAnsiTheme="minorHAnsi"/>
          <w:sz w:val="22"/>
          <w:szCs w:val="22"/>
        </w:rPr>
        <w:t xml:space="preserve"> (IWC)</w:t>
      </w:r>
      <w:r>
        <w:rPr>
          <w:rFonts w:asciiTheme="minorHAnsi" w:hAnsiTheme="minorHAnsi"/>
          <w:sz w:val="22"/>
          <w:szCs w:val="22"/>
        </w:rPr>
        <w:t xml:space="preserve">, </w:t>
      </w:r>
      <w:r w:rsidRPr="008B57E8">
        <w:rPr>
          <w:rFonts w:asciiTheme="minorHAnsi" w:hAnsiTheme="minorHAnsi"/>
          <w:sz w:val="22"/>
          <w:szCs w:val="22"/>
        </w:rPr>
        <w:t>National Farmers Union</w:t>
      </w:r>
      <w:r w:rsidR="00C90F14">
        <w:rPr>
          <w:rFonts w:asciiTheme="minorHAnsi" w:hAnsiTheme="minorHAnsi"/>
          <w:sz w:val="22"/>
          <w:szCs w:val="22"/>
        </w:rPr>
        <w:t xml:space="preserve"> (NFU)</w:t>
      </w:r>
      <w:r>
        <w:rPr>
          <w:rFonts w:asciiTheme="minorHAnsi" w:hAnsiTheme="minorHAnsi"/>
          <w:sz w:val="22"/>
          <w:szCs w:val="22"/>
        </w:rPr>
        <w:t xml:space="preserve"> and </w:t>
      </w:r>
      <w:r w:rsidRPr="008B57E8">
        <w:rPr>
          <w:rFonts w:asciiTheme="minorHAnsi" w:hAnsiTheme="minorHAnsi"/>
          <w:sz w:val="22"/>
          <w:szCs w:val="22"/>
        </w:rPr>
        <w:t>Royal Isle of Wight Agricultural Society</w:t>
      </w:r>
      <w:r w:rsidR="00C90F14">
        <w:rPr>
          <w:rFonts w:asciiTheme="minorHAnsi" w:hAnsiTheme="minorHAnsi"/>
          <w:sz w:val="22"/>
          <w:szCs w:val="22"/>
        </w:rPr>
        <w:t xml:space="preserve"> (RIWAS)</w:t>
      </w:r>
      <w:r w:rsidRPr="008B57E8">
        <w:rPr>
          <w:rFonts w:asciiTheme="minorHAnsi" w:hAnsiTheme="minorHAnsi"/>
          <w:sz w:val="22"/>
          <w:szCs w:val="22"/>
        </w:rPr>
        <w:t xml:space="preserve"> </w:t>
      </w:r>
      <w:r w:rsidR="009D3CCA">
        <w:rPr>
          <w:rFonts w:asciiTheme="minorHAnsi" w:hAnsiTheme="minorHAnsi"/>
          <w:sz w:val="22"/>
          <w:szCs w:val="22"/>
        </w:rPr>
        <w:t>commissioned</w:t>
      </w:r>
      <w:r>
        <w:rPr>
          <w:rFonts w:asciiTheme="minorHAnsi" w:hAnsiTheme="minorHAnsi"/>
          <w:sz w:val="22"/>
          <w:szCs w:val="22"/>
        </w:rPr>
        <w:t xml:space="preserve"> BCM to </w:t>
      </w:r>
      <w:r w:rsidR="009D3CCA">
        <w:rPr>
          <w:rFonts w:asciiTheme="minorHAnsi" w:hAnsiTheme="minorHAnsi"/>
          <w:sz w:val="22"/>
          <w:szCs w:val="22"/>
        </w:rPr>
        <w:t>undertake</w:t>
      </w:r>
      <w:r>
        <w:rPr>
          <w:rFonts w:asciiTheme="minorHAnsi" w:hAnsiTheme="minorHAnsi"/>
          <w:sz w:val="22"/>
          <w:szCs w:val="22"/>
        </w:rPr>
        <w:t xml:space="preserve"> the above study</w:t>
      </w:r>
      <w:r w:rsidRPr="008B57E8">
        <w:rPr>
          <w:rFonts w:asciiTheme="minorHAnsi" w:hAnsiTheme="minorHAnsi"/>
          <w:sz w:val="22"/>
          <w:szCs w:val="22"/>
        </w:rPr>
        <w:t xml:space="preserve">.  </w:t>
      </w:r>
      <w:r>
        <w:rPr>
          <w:rFonts w:asciiTheme="minorHAnsi" w:hAnsiTheme="minorHAnsi"/>
          <w:sz w:val="22"/>
          <w:szCs w:val="22"/>
        </w:rPr>
        <w:t xml:space="preserve">The </w:t>
      </w:r>
      <w:r w:rsidR="00C90F14">
        <w:rPr>
          <w:rFonts w:asciiTheme="minorHAnsi" w:hAnsiTheme="minorHAnsi"/>
          <w:sz w:val="22"/>
          <w:szCs w:val="22"/>
        </w:rPr>
        <w:t>purpose of the study</w:t>
      </w:r>
      <w:r>
        <w:rPr>
          <w:rFonts w:asciiTheme="minorHAnsi" w:hAnsiTheme="minorHAnsi"/>
          <w:sz w:val="22"/>
          <w:szCs w:val="22"/>
        </w:rPr>
        <w:t xml:space="preserve"> was to canvass opinion</w:t>
      </w:r>
      <w:r w:rsidR="00C90F14">
        <w:rPr>
          <w:rFonts w:asciiTheme="minorHAnsi" w:hAnsiTheme="minorHAnsi"/>
          <w:sz w:val="22"/>
          <w:szCs w:val="22"/>
        </w:rPr>
        <w:t>,</w:t>
      </w:r>
      <w:r>
        <w:rPr>
          <w:rFonts w:asciiTheme="minorHAnsi" w:hAnsiTheme="minorHAnsi"/>
          <w:sz w:val="22"/>
          <w:szCs w:val="22"/>
        </w:rPr>
        <w:t xml:space="preserve"> </w:t>
      </w:r>
      <w:r w:rsidR="009D3CCA">
        <w:rPr>
          <w:rFonts w:asciiTheme="minorHAnsi" w:hAnsiTheme="minorHAnsi"/>
          <w:sz w:val="22"/>
          <w:szCs w:val="22"/>
        </w:rPr>
        <w:t>determine</w:t>
      </w:r>
      <w:r w:rsidRPr="00E47F04">
        <w:rPr>
          <w:rFonts w:asciiTheme="minorHAnsi" w:hAnsiTheme="minorHAnsi"/>
          <w:sz w:val="22"/>
          <w:szCs w:val="22"/>
        </w:rPr>
        <w:t xml:space="preserve"> demand </w:t>
      </w:r>
      <w:r w:rsidR="00C90F14">
        <w:rPr>
          <w:rFonts w:asciiTheme="minorHAnsi" w:hAnsiTheme="minorHAnsi"/>
          <w:sz w:val="22"/>
          <w:szCs w:val="22"/>
        </w:rPr>
        <w:t>and assess the need and benefits of establishing</w:t>
      </w:r>
      <w:r w:rsidRPr="00E47F04">
        <w:rPr>
          <w:rFonts w:asciiTheme="minorHAnsi" w:hAnsiTheme="minorHAnsi"/>
          <w:sz w:val="22"/>
          <w:szCs w:val="22"/>
        </w:rPr>
        <w:t xml:space="preserve"> a </w:t>
      </w:r>
      <w:r w:rsidR="00AC5D05">
        <w:rPr>
          <w:rFonts w:asciiTheme="minorHAnsi" w:hAnsiTheme="minorHAnsi"/>
          <w:sz w:val="22"/>
          <w:szCs w:val="22"/>
        </w:rPr>
        <w:t>l</w:t>
      </w:r>
      <w:r w:rsidRPr="00E47F04">
        <w:rPr>
          <w:rFonts w:asciiTheme="minorHAnsi" w:hAnsiTheme="minorHAnsi"/>
          <w:sz w:val="22"/>
          <w:szCs w:val="22"/>
        </w:rPr>
        <w:t xml:space="preserve">ivestock </w:t>
      </w:r>
      <w:r w:rsidR="00AC5D05">
        <w:rPr>
          <w:rFonts w:asciiTheme="minorHAnsi" w:hAnsiTheme="minorHAnsi"/>
          <w:sz w:val="22"/>
          <w:szCs w:val="22"/>
        </w:rPr>
        <w:t>c</w:t>
      </w:r>
      <w:r w:rsidRPr="00E47F04">
        <w:rPr>
          <w:rFonts w:asciiTheme="minorHAnsi" w:hAnsiTheme="minorHAnsi"/>
          <w:sz w:val="22"/>
          <w:szCs w:val="22"/>
        </w:rPr>
        <w:t xml:space="preserve">ollection </w:t>
      </w:r>
      <w:r w:rsidR="00AC5D05">
        <w:rPr>
          <w:rFonts w:asciiTheme="minorHAnsi" w:hAnsiTheme="minorHAnsi"/>
          <w:sz w:val="22"/>
          <w:szCs w:val="22"/>
        </w:rPr>
        <w:t>c</w:t>
      </w:r>
      <w:r w:rsidRPr="00E47F04">
        <w:rPr>
          <w:rFonts w:asciiTheme="minorHAnsi" w:hAnsiTheme="minorHAnsi"/>
          <w:sz w:val="22"/>
          <w:szCs w:val="22"/>
        </w:rPr>
        <w:t>entre on the Isle of Wight.</w:t>
      </w:r>
      <w:r>
        <w:rPr>
          <w:rFonts w:asciiTheme="minorHAnsi" w:hAnsiTheme="minorHAnsi"/>
          <w:sz w:val="22"/>
          <w:szCs w:val="22"/>
        </w:rPr>
        <w:t xml:space="preserve"> </w:t>
      </w:r>
    </w:p>
    <w:p w14:paraId="4FFE648E" w14:textId="4C8A3263" w:rsidR="00E47F04" w:rsidRDefault="00E47F04" w:rsidP="006F246D">
      <w:pPr>
        <w:spacing w:before="100" w:beforeAutospacing="1" w:after="120"/>
        <w:ind w:left="283" w:right="283"/>
        <w:jc w:val="both"/>
        <w:rPr>
          <w:rFonts w:asciiTheme="minorHAnsi" w:hAnsiTheme="minorHAnsi"/>
          <w:sz w:val="22"/>
          <w:szCs w:val="22"/>
        </w:rPr>
      </w:pPr>
      <w:r>
        <w:rPr>
          <w:rFonts w:asciiTheme="minorHAnsi" w:hAnsiTheme="minorHAnsi"/>
          <w:sz w:val="22"/>
          <w:szCs w:val="22"/>
        </w:rPr>
        <w:t xml:space="preserve">The study considered </w:t>
      </w:r>
      <w:r w:rsidR="00D51C2E">
        <w:rPr>
          <w:rFonts w:asciiTheme="minorHAnsi" w:hAnsiTheme="minorHAnsi"/>
          <w:sz w:val="22"/>
          <w:szCs w:val="22"/>
        </w:rPr>
        <w:t xml:space="preserve">a full range of factors to include location, </w:t>
      </w:r>
      <w:r>
        <w:rPr>
          <w:rFonts w:asciiTheme="minorHAnsi" w:hAnsiTheme="minorHAnsi"/>
          <w:sz w:val="22"/>
          <w:szCs w:val="22"/>
        </w:rPr>
        <w:t>operating m</w:t>
      </w:r>
      <w:r w:rsidR="009D3CCA">
        <w:rPr>
          <w:rFonts w:asciiTheme="minorHAnsi" w:hAnsiTheme="minorHAnsi"/>
          <w:sz w:val="22"/>
          <w:szCs w:val="22"/>
        </w:rPr>
        <w:t>odel</w:t>
      </w:r>
      <w:r w:rsidR="00D51C2E">
        <w:rPr>
          <w:rFonts w:asciiTheme="minorHAnsi" w:hAnsiTheme="minorHAnsi"/>
          <w:sz w:val="22"/>
          <w:szCs w:val="22"/>
        </w:rPr>
        <w:t>s</w:t>
      </w:r>
      <w:r w:rsidR="009D3CCA">
        <w:rPr>
          <w:rFonts w:asciiTheme="minorHAnsi" w:hAnsiTheme="minorHAnsi"/>
          <w:sz w:val="22"/>
          <w:szCs w:val="22"/>
        </w:rPr>
        <w:t xml:space="preserve"> </w:t>
      </w:r>
      <w:r>
        <w:rPr>
          <w:rFonts w:asciiTheme="minorHAnsi" w:hAnsiTheme="minorHAnsi"/>
          <w:sz w:val="22"/>
          <w:szCs w:val="22"/>
        </w:rPr>
        <w:t xml:space="preserve">and </w:t>
      </w:r>
      <w:r w:rsidRPr="00E47F04">
        <w:rPr>
          <w:rFonts w:asciiTheme="minorHAnsi" w:hAnsiTheme="minorHAnsi"/>
          <w:sz w:val="22"/>
          <w:szCs w:val="22"/>
        </w:rPr>
        <w:t xml:space="preserve">the legislation underpinning the operation of a </w:t>
      </w:r>
      <w:r w:rsidR="00D51C2E">
        <w:rPr>
          <w:rFonts w:asciiTheme="minorHAnsi" w:hAnsiTheme="minorHAnsi"/>
          <w:sz w:val="22"/>
          <w:szCs w:val="22"/>
        </w:rPr>
        <w:t>l</w:t>
      </w:r>
      <w:r w:rsidRPr="00E47F04">
        <w:rPr>
          <w:rFonts w:asciiTheme="minorHAnsi" w:hAnsiTheme="minorHAnsi"/>
          <w:sz w:val="22"/>
          <w:szCs w:val="22"/>
        </w:rPr>
        <w:t xml:space="preserve">ivestock </w:t>
      </w:r>
      <w:r w:rsidR="00D51C2E">
        <w:rPr>
          <w:rFonts w:asciiTheme="minorHAnsi" w:hAnsiTheme="minorHAnsi"/>
          <w:sz w:val="22"/>
          <w:szCs w:val="22"/>
        </w:rPr>
        <w:t>c</w:t>
      </w:r>
      <w:r w:rsidRPr="00E47F04">
        <w:rPr>
          <w:rFonts w:asciiTheme="minorHAnsi" w:hAnsiTheme="minorHAnsi"/>
          <w:sz w:val="22"/>
          <w:szCs w:val="22"/>
        </w:rPr>
        <w:t xml:space="preserve">ollection </w:t>
      </w:r>
      <w:r w:rsidR="00D51C2E">
        <w:rPr>
          <w:rFonts w:asciiTheme="minorHAnsi" w:hAnsiTheme="minorHAnsi"/>
          <w:sz w:val="22"/>
          <w:szCs w:val="22"/>
        </w:rPr>
        <w:t>c</w:t>
      </w:r>
      <w:r w:rsidRPr="00E47F04">
        <w:rPr>
          <w:rFonts w:asciiTheme="minorHAnsi" w:hAnsiTheme="minorHAnsi"/>
          <w:sz w:val="22"/>
          <w:szCs w:val="22"/>
        </w:rPr>
        <w:t>entre.</w:t>
      </w:r>
    </w:p>
    <w:p w14:paraId="1BB001E4" w14:textId="3B2A395C" w:rsidR="00C90F14" w:rsidRPr="00D372FC" w:rsidRDefault="00C90F14" w:rsidP="006F246D">
      <w:pPr>
        <w:spacing w:before="100" w:beforeAutospacing="1" w:after="120"/>
        <w:ind w:left="283" w:right="283"/>
        <w:jc w:val="both"/>
        <w:rPr>
          <w:rFonts w:asciiTheme="minorHAnsi" w:hAnsiTheme="minorHAnsi" w:cstheme="minorHAnsi"/>
          <w:sz w:val="22"/>
          <w:szCs w:val="22"/>
        </w:rPr>
      </w:pPr>
      <w:r w:rsidRPr="000202BF">
        <w:rPr>
          <w:rFonts w:asciiTheme="minorHAnsi" w:hAnsiTheme="minorHAnsi"/>
          <w:b/>
          <w:bCs/>
          <w:sz w:val="22"/>
          <w:szCs w:val="22"/>
        </w:rPr>
        <w:t>The full study is available</w:t>
      </w:r>
      <w:r w:rsidR="006F246D" w:rsidRPr="000202BF">
        <w:rPr>
          <w:rFonts w:asciiTheme="minorHAnsi" w:hAnsiTheme="minorHAnsi"/>
          <w:b/>
          <w:bCs/>
          <w:sz w:val="22"/>
          <w:szCs w:val="22"/>
        </w:rPr>
        <w:t xml:space="preserve"> without charge</w:t>
      </w:r>
      <w:r w:rsidRPr="000202BF">
        <w:rPr>
          <w:rFonts w:asciiTheme="minorHAnsi" w:hAnsiTheme="minorHAnsi"/>
          <w:b/>
          <w:bCs/>
          <w:sz w:val="22"/>
          <w:szCs w:val="22"/>
        </w:rPr>
        <w:t xml:space="preserve"> at </w:t>
      </w:r>
      <w:hyperlink r:id="rId10" w:history="1">
        <w:r w:rsidRPr="000202BF">
          <w:rPr>
            <w:rStyle w:val="Hyperlink"/>
            <w:rFonts w:asciiTheme="minorHAnsi" w:hAnsiTheme="minorHAnsi"/>
            <w:b/>
            <w:bCs/>
            <w:sz w:val="22"/>
            <w:szCs w:val="22"/>
          </w:rPr>
          <w:t>www.riwas.org.uk</w:t>
        </w:r>
      </w:hyperlink>
      <w:r w:rsidRPr="000202BF">
        <w:rPr>
          <w:rFonts w:asciiTheme="minorHAnsi" w:hAnsiTheme="minorHAnsi"/>
          <w:b/>
          <w:bCs/>
          <w:sz w:val="22"/>
          <w:szCs w:val="22"/>
        </w:rPr>
        <w:t xml:space="preserve"> or copies can be obtained by contacting either RIWAS 0845 226 </w:t>
      </w:r>
      <w:r w:rsidRPr="00D372FC">
        <w:rPr>
          <w:rFonts w:asciiTheme="minorHAnsi" w:hAnsiTheme="minorHAnsi"/>
          <w:b/>
          <w:bCs/>
          <w:sz w:val="22"/>
          <w:szCs w:val="22"/>
        </w:rPr>
        <w:t xml:space="preserve">9098 or </w:t>
      </w:r>
      <w:r w:rsidRPr="00D372FC">
        <w:rPr>
          <w:rFonts w:asciiTheme="minorHAnsi" w:hAnsiTheme="minorHAnsi" w:cstheme="minorHAnsi"/>
          <w:b/>
          <w:bCs/>
          <w:sz w:val="22"/>
          <w:szCs w:val="22"/>
        </w:rPr>
        <w:t xml:space="preserve">NFU </w:t>
      </w:r>
      <w:r w:rsidR="00D372FC" w:rsidRPr="00D372FC">
        <w:rPr>
          <w:rFonts w:asciiTheme="minorHAnsi" w:hAnsiTheme="minorHAnsi" w:cstheme="minorHAnsi"/>
          <w:b/>
          <w:bCs/>
          <w:sz w:val="22"/>
          <w:szCs w:val="22"/>
        </w:rPr>
        <w:t>01983 522290</w:t>
      </w:r>
      <w:r w:rsidR="00D51C2E" w:rsidRPr="00D372FC">
        <w:rPr>
          <w:rFonts w:asciiTheme="minorHAnsi" w:hAnsiTheme="minorHAnsi" w:cstheme="minorHAnsi"/>
          <w:b/>
          <w:bCs/>
          <w:sz w:val="22"/>
          <w:szCs w:val="22"/>
        </w:rPr>
        <w:t>.</w:t>
      </w:r>
      <w:r w:rsidR="00D51C2E" w:rsidRPr="00D372FC">
        <w:rPr>
          <w:rFonts w:asciiTheme="minorHAnsi" w:hAnsiTheme="minorHAnsi" w:cstheme="minorHAnsi"/>
          <w:sz w:val="22"/>
          <w:szCs w:val="22"/>
        </w:rPr>
        <w:t xml:space="preserve"> </w:t>
      </w:r>
    </w:p>
    <w:p w14:paraId="0419F1ED" w14:textId="77777777" w:rsidR="00A00377" w:rsidRDefault="00A00377" w:rsidP="006F246D">
      <w:pPr>
        <w:spacing w:before="100" w:beforeAutospacing="1"/>
        <w:ind w:left="283" w:right="283"/>
        <w:contextualSpacing/>
        <w:jc w:val="both"/>
        <w:rPr>
          <w:rFonts w:asciiTheme="minorHAnsi" w:hAnsiTheme="minorHAnsi" w:cs="Microsoft Sans Serif"/>
          <w:b/>
          <w:bCs/>
          <w:sz w:val="22"/>
          <w:szCs w:val="22"/>
        </w:rPr>
      </w:pPr>
    </w:p>
    <w:p w14:paraId="4113705B" w14:textId="06F5F1D8" w:rsidR="00C90F14" w:rsidRPr="00C90F14" w:rsidRDefault="00C90F14" w:rsidP="006F246D">
      <w:pPr>
        <w:spacing w:before="100" w:beforeAutospacing="1"/>
        <w:ind w:left="283" w:right="283"/>
        <w:contextualSpacing/>
        <w:jc w:val="both"/>
        <w:rPr>
          <w:rFonts w:asciiTheme="minorHAnsi" w:hAnsiTheme="minorHAnsi" w:cs="Microsoft Sans Serif"/>
          <w:b/>
          <w:bCs/>
          <w:sz w:val="22"/>
          <w:szCs w:val="22"/>
        </w:rPr>
      </w:pPr>
      <w:r w:rsidRPr="00C90F14">
        <w:rPr>
          <w:rFonts w:asciiTheme="minorHAnsi" w:hAnsiTheme="minorHAnsi" w:cs="Microsoft Sans Serif"/>
          <w:b/>
          <w:bCs/>
          <w:sz w:val="22"/>
          <w:szCs w:val="22"/>
        </w:rPr>
        <w:t>Backgr</w:t>
      </w:r>
      <w:r>
        <w:rPr>
          <w:rFonts w:asciiTheme="minorHAnsi" w:hAnsiTheme="minorHAnsi" w:cs="Microsoft Sans Serif"/>
          <w:b/>
          <w:bCs/>
          <w:sz w:val="22"/>
          <w:szCs w:val="22"/>
        </w:rPr>
        <w:t>o</w:t>
      </w:r>
      <w:r w:rsidRPr="00C90F14">
        <w:rPr>
          <w:rFonts w:asciiTheme="minorHAnsi" w:hAnsiTheme="minorHAnsi" w:cs="Microsoft Sans Serif"/>
          <w:b/>
          <w:bCs/>
          <w:sz w:val="22"/>
          <w:szCs w:val="22"/>
        </w:rPr>
        <w:t>und</w:t>
      </w:r>
    </w:p>
    <w:p w14:paraId="68B14328" w14:textId="44F1C6B7" w:rsidR="009D3CCA" w:rsidRDefault="00E47F04" w:rsidP="006F246D">
      <w:pPr>
        <w:spacing w:before="100" w:beforeAutospacing="1"/>
        <w:ind w:left="283" w:right="283"/>
        <w:contextualSpacing/>
        <w:jc w:val="both"/>
        <w:rPr>
          <w:rFonts w:asciiTheme="minorHAnsi" w:hAnsiTheme="minorHAnsi" w:cs="Microsoft Sans Serif"/>
          <w:sz w:val="22"/>
          <w:szCs w:val="22"/>
        </w:rPr>
      </w:pPr>
      <w:r w:rsidRPr="008B57E8">
        <w:rPr>
          <w:rFonts w:asciiTheme="minorHAnsi" w:hAnsiTheme="minorHAnsi" w:cs="Microsoft Sans Serif"/>
          <w:sz w:val="22"/>
          <w:szCs w:val="22"/>
        </w:rPr>
        <w:t>From DEFRA statistics (2016) the Isle of Wight ha</w:t>
      </w:r>
      <w:r w:rsidR="004D309F">
        <w:rPr>
          <w:rFonts w:asciiTheme="minorHAnsi" w:hAnsiTheme="minorHAnsi" w:cs="Microsoft Sans Serif"/>
          <w:sz w:val="22"/>
          <w:szCs w:val="22"/>
        </w:rPr>
        <w:t>d</w:t>
      </w:r>
      <w:r w:rsidRPr="008B57E8">
        <w:rPr>
          <w:rFonts w:asciiTheme="minorHAnsi" w:hAnsiTheme="minorHAnsi" w:cs="Microsoft Sans Serif"/>
          <w:sz w:val="22"/>
          <w:szCs w:val="22"/>
        </w:rPr>
        <w:t xml:space="preserve"> </w:t>
      </w:r>
      <w:r w:rsidR="00D51C2E">
        <w:rPr>
          <w:rFonts w:asciiTheme="minorHAnsi" w:hAnsiTheme="minorHAnsi" w:cs="Microsoft Sans Serif"/>
          <w:sz w:val="22"/>
          <w:szCs w:val="22"/>
        </w:rPr>
        <w:t>340</w:t>
      </w:r>
      <w:r w:rsidRPr="008B57E8">
        <w:rPr>
          <w:rFonts w:asciiTheme="minorHAnsi" w:hAnsiTheme="minorHAnsi" w:cs="Microsoft Sans Serif"/>
          <w:sz w:val="22"/>
          <w:szCs w:val="22"/>
        </w:rPr>
        <w:t xml:space="preserve"> agricultural holdings</w:t>
      </w:r>
      <w:r w:rsidR="00D51C2E">
        <w:rPr>
          <w:rFonts w:asciiTheme="minorHAnsi" w:hAnsiTheme="minorHAnsi" w:cs="Microsoft Sans Serif"/>
          <w:sz w:val="22"/>
          <w:szCs w:val="22"/>
        </w:rPr>
        <w:t>,</w:t>
      </w:r>
      <w:r w:rsidRPr="008B57E8">
        <w:rPr>
          <w:rFonts w:asciiTheme="minorHAnsi" w:hAnsiTheme="minorHAnsi" w:cs="Microsoft Sans Serif"/>
          <w:sz w:val="22"/>
          <w:szCs w:val="22"/>
        </w:rPr>
        <w:t xml:space="preserve"> farming an area of 24,142 hectares</w:t>
      </w:r>
      <w:r w:rsidR="00D51C2E">
        <w:rPr>
          <w:rFonts w:asciiTheme="minorHAnsi" w:hAnsiTheme="minorHAnsi" w:cs="Microsoft Sans Serif"/>
          <w:sz w:val="22"/>
          <w:szCs w:val="22"/>
        </w:rPr>
        <w:t>. O</w:t>
      </w:r>
      <w:r w:rsidRPr="008B57E8">
        <w:rPr>
          <w:rFonts w:asciiTheme="minorHAnsi" w:hAnsiTheme="minorHAnsi" w:cs="Microsoft Sans Serif"/>
          <w:sz w:val="22"/>
          <w:szCs w:val="22"/>
        </w:rPr>
        <w:t>f this the grassland area comprise</w:t>
      </w:r>
      <w:r w:rsidR="004D309F">
        <w:rPr>
          <w:rFonts w:asciiTheme="minorHAnsi" w:hAnsiTheme="minorHAnsi" w:cs="Microsoft Sans Serif"/>
          <w:sz w:val="22"/>
          <w:szCs w:val="22"/>
        </w:rPr>
        <w:t>d</w:t>
      </w:r>
      <w:r w:rsidRPr="008B57E8">
        <w:rPr>
          <w:rFonts w:asciiTheme="minorHAnsi" w:hAnsiTheme="minorHAnsi" w:cs="Microsoft Sans Serif"/>
          <w:sz w:val="22"/>
          <w:szCs w:val="22"/>
        </w:rPr>
        <w:t xml:space="preserve"> 13</w:t>
      </w:r>
      <w:r>
        <w:rPr>
          <w:rFonts w:asciiTheme="minorHAnsi" w:hAnsiTheme="minorHAnsi" w:cs="Microsoft Sans Serif"/>
          <w:sz w:val="22"/>
          <w:szCs w:val="22"/>
        </w:rPr>
        <w:t>,</w:t>
      </w:r>
      <w:r w:rsidRPr="008B57E8">
        <w:rPr>
          <w:rFonts w:asciiTheme="minorHAnsi" w:hAnsiTheme="minorHAnsi" w:cs="Microsoft Sans Serif"/>
          <w:sz w:val="22"/>
          <w:szCs w:val="22"/>
        </w:rPr>
        <w:t>417 hectares supporting 12,459 cattle and 33,941 sheep</w:t>
      </w:r>
      <w:r w:rsidR="00D51C2E">
        <w:rPr>
          <w:rFonts w:asciiTheme="minorHAnsi" w:hAnsiTheme="minorHAnsi" w:cs="Microsoft Sans Serif"/>
          <w:sz w:val="22"/>
          <w:szCs w:val="22"/>
        </w:rPr>
        <w:t>.</w:t>
      </w:r>
      <w:r w:rsidRPr="008B57E8">
        <w:rPr>
          <w:rFonts w:asciiTheme="minorHAnsi" w:hAnsiTheme="minorHAnsi" w:cs="Microsoft Sans Serif"/>
          <w:sz w:val="22"/>
          <w:szCs w:val="22"/>
        </w:rPr>
        <w:t xml:space="preserve"> </w:t>
      </w:r>
      <w:r>
        <w:rPr>
          <w:rFonts w:asciiTheme="minorHAnsi" w:hAnsiTheme="minorHAnsi" w:cs="Microsoft Sans Serif"/>
          <w:sz w:val="22"/>
          <w:szCs w:val="22"/>
        </w:rPr>
        <w:t xml:space="preserve"> </w:t>
      </w:r>
      <w:r w:rsidRPr="008B57E8">
        <w:rPr>
          <w:rFonts w:asciiTheme="minorHAnsi" w:hAnsiTheme="minorHAnsi" w:cs="Microsoft Sans Serif"/>
          <w:sz w:val="22"/>
          <w:szCs w:val="22"/>
        </w:rPr>
        <w:t>From BCM survey data and NFU branch information</w:t>
      </w:r>
      <w:r w:rsidR="004D309F">
        <w:rPr>
          <w:rFonts w:asciiTheme="minorHAnsi" w:hAnsiTheme="minorHAnsi" w:cs="Microsoft Sans Serif"/>
          <w:sz w:val="22"/>
          <w:szCs w:val="22"/>
        </w:rPr>
        <w:t xml:space="preserve"> (2020)</w:t>
      </w:r>
      <w:r w:rsidRPr="008B57E8">
        <w:rPr>
          <w:rFonts w:asciiTheme="minorHAnsi" w:hAnsiTheme="minorHAnsi" w:cs="Microsoft Sans Serif"/>
          <w:sz w:val="22"/>
          <w:szCs w:val="22"/>
        </w:rPr>
        <w:t xml:space="preserve"> 11% of holdings are more than 350 acres, 23% between 150 and 350 acres, 35% between 50 acres and 150 acres and 31% below 50 acres. </w:t>
      </w:r>
    </w:p>
    <w:p w14:paraId="46ADFA55" w14:textId="2DA07D10" w:rsidR="00D51C2E" w:rsidRDefault="00D51C2E" w:rsidP="006F246D">
      <w:pPr>
        <w:spacing w:before="100" w:beforeAutospacing="1"/>
        <w:ind w:left="283" w:right="283"/>
        <w:jc w:val="both"/>
        <w:rPr>
          <w:rFonts w:asciiTheme="minorHAnsi" w:hAnsiTheme="minorHAnsi" w:cs="Microsoft Sans Serif"/>
          <w:sz w:val="22"/>
          <w:szCs w:val="22"/>
        </w:rPr>
      </w:pPr>
      <w:r>
        <w:rPr>
          <w:rFonts w:asciiTheme="minorHAnsi" w:hAnsiTheme="minorHAnsi" w:cs="Microsoft Sans Serif"/>
          <w:sz w:val="22"/>
          <w:szCs w:val="22"/>
        </w:rPr>
        <w:t>Livestock c</w:t>
      </w:r>
      <w:r w:rsidR="009D3CCA" w:rsidRPr="008B57E8">
        <w:rPr>
          <w:rFonts w:asciiTheme="minorHAnsi" w:hAnsiTheme="minorHAnsi" w:cs="Microsoft Sans Serif"/>
          <w:sz w:val="22"/>
          <w:szCs w:val="22"/>
        </w:rPr>
        <w:t xml:space="preserve">ollection </w:t>
      </w:r>
      <w:r>
        <w:rPr>
          <w:rFonts w:asciiTheme="minorHAnsi" w:hAnsiTheme="minorHAnsi" w:cs="Microsoft Sans Serif"/>
          <w:sz w:val="22"/>
          <w:szCs w:val="22"/>
        </w:rPr>
        <w:t>c</w:t>
      </w:r>
      <w:r w:rsidR="009D3CCA" w:rsidRPr="008B57E8">
        <w:rPr>
          <w:rFonts w:asciiTheme="minorHAnsi" w:hAnsiTheme="minorHAnsi" w:cs="Microsoft Sans Serif"/>
          <w:sz w:val="22"/>
          <w:szCs w:val="22"/>
        </w:rPr>
        <w:t xml:space="preserve">entres number 150 nationally and more are being established each year – an indication the industry is evolving.  </w:t>
      </w:r>
    </w:p>
    <w:p w14:paraId="3C1B346D" w14:textId="13D36012" w:rsidR="00A00377" w:rsidRDefault="00D51C2E" w:rsidP="001978EC">
      <w:pPr>
        <w:spacing w:before="100" w:beforeAutospacing="1"/>
        <w:ind w:left="283" w:right="283"/>
        <w:jc w:val="both"/>
        <w:rPr>
          <w:rFonts w:asciiTheme="minorHAnsi" w:hAnsiTheme="minorHAnsi" w:cs="Microsoft Sans Serif"/>
          <w:sz w:val="22"/>
          <w:szCs w:val="22"/>
        </w:rPr>
      </w:pPr>
      <w:r>
        <w:rPr>
          <w:rFonts w:asciiTheme="minorHAnsi" w:hAnsiTheme="minorHAnsi" w:cs="Microsoft Sans Serif"/>
          <w:sz w:val="22"/>
          <w:szCs w:val="22"/>
        </w:rPr>
        <w:t>There is concern t</w:t>
      </w:r>
      <w:r w:rsidR="009D3CCA" w:rsidRPr="008B57E8">
        <w:rPr>
          <w:rFonts w:asciiTheme="minorHAnsi" w:hAnsiTheme="minorHAnsi" w:cs="Microsoft Sans Serif"/>
          <w:sz w:val="22"/>
          <w:szCs w:val="22"/>
        </w:rPr>
        <w:t>he lack of a livestock collection centre on the Isle of Wight threaten</w:t>
      </w:r>
      <w:r>
        <w:rPr>
          <w:rFonts w:asciiTheme="minorHAnsi" w:hAnsiTheme="minorHAnsi" w:cs="Microsoft Sans Serif"/>
          <w:sz w:val="22"/>
          <w:szCs w:val="22"/>
        </w:rPr>
        <w:t>s</w:t>
      </w:r>
      <w:r w:rsidR="009D3CCA" w:rsidRPr="008B57E8">
        <w:rPr>
          <w:rFonts w:asciiTheme="minorHAnsi" w:hAnsiTheme="minorHAnsi" w:cs="Microsoft Sans Serif"/>
          <w:sz w:val="22"/>
          <w:szCs w:val="22"/>
        </w:rPr>
        <w:t xml:space="preserve"> the ongoing efficiency and viability of </w:t>
      </w:r>
      <w:r>
        <w:rPr>
          <w:rFonts w:asciiTheme="minorHAnsi" w:hAnsiTheme="minorHAnsi" w:cs="Microsoft Sans Serif"/>
          <w:sz w:val="22"/>
          <w:szCs w:val="22"/>
        </w:rPr>
        <w:t xml:space="preserve">the smaller livestock holdings, and it was hoped </w:t>
      </w:r>
      <w:r w:rsidR="009D3CCA" w:rsidRPr="008B57E8">
        <w:rPr>
          <w:rFonts w:asciiTheme="minorHAnsi" w:hAnsiTheme="minorHAnsi" w:cs="Microsoft Sans Serif"/>
          <w:sz w:val="22"/>
          <w:szCs w:val="22"/>
        </w:rPr>
        <w:t xml:space="preserve">the facility </w:t>
      </w:r>
      <w:r>
        <w:rPr>
          <w:rFonts w:asciiTheme="minorHAnsi" w:hAnsiTheme="minorHAnsi" w:cs="Microsoft Sans Serif"/>
          <w:sz w:val="22"/>
          <w:szCs w:val="22"/>
        </w:rPr>
        <w:t>w</w:t>
      </w:r>
      <w:r w:rsidR="009D3CCA" w:rsidRPr="008B57E8">
        <w:rPr>
          <w:rFonts w:asciiTheme="minorHAnsi" w:hAnsiTheme="minorHAnsi" w:cs="Microsoft Sans Serif"/>
          <w:sz w:val="22"/>
          <w:szCs w:val="22"/>
        </w:rPr>
        <w:t xml:space="preserve">ould also </w:t>
      </w:r>
      <w:r w:rsidR="004D309F">
        <w:rPr>
          <w:rFonts w:asciiTheme="minorHAnsi" w:hAnsiTheme="minorHAnsi" w:cs="Microsoft Sans Serif"/>
          <w:sz w:val="22"/>
          <w:szCs w:val="22"/>
        </w:rPr>
        <w:t>provide</w:t>
      </w:r>
      <w:r w:rsidR="009D3CCA" w:rsidRPr="008B57E8">
        <w:rPr>
          <w:rFonts w:asciiTheme="minorHAnsi" w:hAnsiTheme="minorHAnsi" w:cs="Microsoft Sans Serif"/>
          <w:sz w:val="22"/>
          <w:szCs w:val="22"/>
        </w:rPr>
        <w:t xml:space="preserve"> benefit for larger livestock producers.</w:t>
      </w:r>
      <w:r w:rsidR="00F5320F">
        <w:rPr>
          <w:rFonts w:asciiTheme="minorHAnsi" w:hAnsiTheme="minorHAnsi" w:cs="Microsoft Sans Serif"/>
          <w:sz w:val="22"/>
          <w:szCs w:val="22"/>
        </w:rPr>
        <w:t xml:space="preserve"> </w:t>
      </w:r>
      <w:r w:rsidR="00F5320F">
        <w:rPr>
          <w:rFonts w:asciiTheme="minorHAnsi" w:hAnsiTheme="minorHAnsi" w:cs="Microsoft Sans Serif"/>
          <w:sz w:val="22"/>
          <w:szCs w:val="22"/>
        </w:rPr>
        <w:t xml:space="preserve">Adhering to the </w:t>
      </w:r>
      <w:r w:rsidR="00822505">
        <w:rPr>
          <w:rFonts w:asciiTheme="minorHAnsi" w:hAnsiTheme="minorHAnsi" w:cs="Microsoft Sans Serif"/>
          <w:sz w:val="22"/>
          <w:szCs w:val="22"/>
        </w:rPr>
        <w:t>ever-increasing</w:t>
      </w:r>
      <w:r w:rsidR="00F5320F">
        <w:rPr>
          <w:rFonts w:asciiTheme="minorHAnsi" w:hAnsiTheme="minorHAnsi" w:cs="Microsoft Sans Serif"/>
          <w:sz w:val="22"/>
          <w:szCs w:val="22"/>
        </w:rPr>
        <w:t xml:space="preserve"> animal welfare standards and the existing haulage capacity on the Island are</w:t>
      </w:r>
      <w:r w:rsidR="008D3F5C">
        <w:rPr>
          <w:rFonts w:asciiTheme="minorHAnsi" w:hAnsiTheme="minorHAnsi" w:cs="Microsoft Sans Serif"/>
          <w:sz w:val="22"/>
          <w:szCs w:val="22"/>
        </w:rPr>
        <w:t xml:space="preserve"> </w:t>
      </w:r>
      <w:r w:rsidR="00F5320F">
        <w:rPr>
          <w:rFonts w:asciiTheme="minorHAnsi" w:hAnsiTheme="minorHAnsi" w:cs="Microsoft Sans Serif"/>
          <w:sz w:val="22"/>
          <w:szCs w:val="22"/>
        </w:rPr>
        <w:t xml:space="preserve">key factors. </w:t>
      </w:r>
    </w:p>
    <w:p w14:paraId="3C4B5935" w14:textId="77777777" w:rsidR="001978EC" w:rsidRDefault="001978EC" w:rsidP="00F5320F">
      <w:pPr>
        <w:spacing w:before="100" w:beforeAutospacing="1"/>
        <w:ind w:right="283"/>
        <w:contextualSpacing/>
        <w:jc w:val="both"/>
        <w:rPr>
          <w:rFonts w:asciiTheme="minorHAnsi" w:hAnsiTheme="minorHAnsi" w:cs="Microsoft Sans Serif"/>
          <w:b/>
          <w:bCs/>
          <w:sz w:val="22"/>
          <w:szCs w:val="22"/>
        </w:rPr>
      </w:pPr>
    </w:p>
    <w:p w14:paraId="50028542" w14:textId="250B5D55" w:rsidR="00A00377" w:rsidRPr="005B0155" w:rsidRDefault="009D3CCA" w:rsidP="006F246D">
      <w:pPr>
        <w:spacing w:before="100" w:beforeAutospacing="1"/>
        <w:ind w:left="283" w:right="283"/>
        <w:contextualSpacing/>
        <w:jc w:val="both"/>
        <w:rPr>
          <w:rFonts w:asciiTheme="minorHAnsi" w:hAnsiTheme="minorHAnsi" w:cs="Microsoft Sans Serif"/>
          <w:b/>
          <w:bCs/>
          <w:sz w:val="22"/>
          <w:szCs w:val="22"/>
        </w:rPr>
      </w:pPr>
      <w:r>
        <w:rPr>
          <w:rFonts w:asciiTheme="minorHAnsi" w:hAnsiTheme="minorHAnsi" w:cs="Microsoft Sans Serif"/>
          <w:b/>
          <w:bCs/>
          <w:sz w:val="22"/>
          <w:szCs w:val="22"/>
        </w:rPr>
        <w:t>Key Findings</w:t>
      </w:r>
    </w:p>
    <w:p w14:paraId="48D05421" w14:textId="44E6CCBC" w:rsidR="009D3CCA" w:rsidRDefault="004D309F" w:rsidP="006F246D">
      <w:pPr>
        <w:spacing w:before="100" w:beforeAutospacing="1"/>
        <w:ind w:left="283" w:right="283"/>
        <w:contextualSpacing/>
        <w:jc w:val="both"/>
        <w:rPr>
          <w:rFonts w:asciiTheme="minorHAnsi" w:hAnsiTheme="minorHAnsi" w:cs="Microsoft Sans Serif"/>
          <w:sz w:val="22"/>
          <w:szCs w:val="22"/>
        </w:rPr>
      </w:pPr>
      <w:r>
        <w:rPr>
          <w:rFonts w:asciiTheme="minorHAnsi" w:hAnsiTheme="minorHAnsi" w:cs="Microsoft Sans Serif"/>
          <w:sz w:val="22"/>
          <w:szCs w:val="22"/>
        </w:rPr>
        <w:t>Based on</w:t>
      </w:r>
      <w:r w:rsidR="009D3CCA" w:rsidRPr="008B57E8">
        <w:rPr>
          <w:rFonts w:asciiTheme="minorHAnsi" w:hAnsiTheme="minorHAnsi" w:cs="Microsoft Sans Serif"/>
          <w:sz w:val="22"/>
          <w:szCs w:val="22"/>
        </w:rPr>
        <w:t xml:space="preserve"> the DEFRA </w:t>
      </w:r>
      <w:r>
        <w:rPr>
          <w:rFonts w:asciiTheme="minorHAnsi" w:hAnsiTheme="minorHAnsi" w:cs="Microsoft Sans Serif"/>
          <w:sz w:val="22"/>
          <w:szCs w:val="22"/>
        </w:rPr>
        <w:t>stock numbers</w:t>
      </w:r>
      <w:r w:rsidR="009D3CCA" w:rsidRPr="008B57E8">
        <w:rPr>
          <w:rFonts w:asciiTheme="minorHAnsi" w:hAnsiTheme="minorHAnsi" w:cs="Microsoft Sans Serif"/>
          <w:sz w:val="22"/>
          <w:szCs w:val="22"/>
        </w:rPr>
        <w:t xml:space="preserve"> </w:t>
      </w:r>
      <w:r>
        <w:rPr>
          <w:rFonts w:asciiTheme="minorHAnsi" w:hAnsiTheme="minorHAnsi" w:cs="Microsoft Sans Serif"/>
          <w:sz w:val="22"/>
          <w:szCs w:val="22"/>
        </w:rPr>
        <w:t xml:space="preserve">on the Island </w:t>
      </w:r>
      <w:r w:rsidR="009D3CCA" w:rsidRPr="008B57E8">
        <w:rPr>
          <w:rFonts w:asciiTheme="minorHAnsi" w:hAnsiTheme="minorHAnsi" w:cs="Microsoft Sans Serif"/>
          <w:sz w:val="22"/>
          <w:szCs w:val="22"/>
        </w:rPr>
        <w:t xml:space="preserve">and survey results </w:t>
      </w:r>
      <w:r w:rsidR="00AC5D05">
        <w:rPr>
          <w:rFonts w:asciiTheme="minorHAnsi" w:hAnsiTheme="minorHAnsi" w:cs="Microsoft Sans Serif"/>
          <w:sz w:val="22"/>
          <w:szCs w:val="22"/>
        </w:rPr>
        <w:t xml:space="preserve">it </w:t>
      </w:r>
      <w:r>
        <w:rPr>
          <w:rFonts w:asciiTheme="minorHAnsi" w:hAnsiTheme="minorHAnsi" w:cs="Microsoft Sans Serif"/>
          <w:sz w:val="22"/>
          <w:szCs w:val="22"/>
        </w:rPr>
        <w:t xml:space="preserve">would </w:t>
      </w:r>
      <w:r w:rsidRPr="004D309F">
        <w:rPr>
          <w:rFonts w:asciiTheme="minorHAnsi" w:hAnsiTheme="minorHAnsi" w:cs="Microsoft Sans Serif"/>
          <w:sz w:val="22"/>
          <w:szCs w:val="22"/>
        </w:rPr>
        <w:t>suggest</w:t>
      </w:r>
      <w:r w:rsidR="009D3CCA" w:rsidRPr="004D309F">
        <w:rPr>
          <w:rFonts w:asciiTheme="minorHAnsi" w:hAnsiTheme="minorHAnsi" w:cs="Microsoft Sans Serif"/>
          <w:sz w:val="22"/>
          <w:szCs w:val="22"/>
        </w:rPr>
        <w:t xml:space="preserve"> </w:t>
      </w:r>
      <w:r w:rsidRPr="004D309F">
        <w:rPr>
          <w:rFonts w:asciiTheme="minorHAnsi" w:hAnsiTheme="minorHAnsi" w:cs="Microsoft Sans Serif"/>
          <w:sz w:val="22"/>
          <w:szCs w:val="22"/>
        </w:rPr>
        <w:t>c</w:t>
      </w:r>
      <w:r w:rsidR="009D3CCA" w:rsidRPr="004D309F">
        <w:rPr>
          <w:rFonts w:asciiTheme="minorHAnsi" w:hAnsiTheme="minorHAnsi" w:cs="Microsoft Sans Serif"/>
          <w:sz w:val="22"/>
          <w:szCs w:val="22"/>
        </w:rPr>
        <w:t xml:space="preserve">6,000 lambs and </w:t>
      </w:r>
      <w:r w:rsidRPr="004D309F">
        <w:rPr>
          <w:rFonts w:asciiTheme="minorHAnsi" w:hAnsiTheme="minorHAnsi" w:cs="Microsoft Sans Serif"/>
          <w:sz w:val="22"/>
          <w:szCs w:val="22"/>
        </w:rPr>
        <w:t>c</w:t>
      </w:r>
      <w:r w:rsidR="009D3CCA" w:rsidRPr="004D309F">
        <w:rPr>
          <w:rFonts w:asciiTheme="minorHAnsi" w:hAnsiTheme="minorHAnsi" w:cs="Microsoft Sans Serif"/>
          <w:sz w:val="22"/>
          <w:szCs w:val="22"/>
        </w:rPr>
        <w:t>1000 cattle per annum</w:t>
      </w:r>
      <w:r w:rsidRPr="004D309F">
        <w:rPr>
          <w:rFonts w:asciiTheme="minorHAnsi" w:hAnsiTheme="minorHAnsi" w:cs="Microsoft Sans Serif"/>
          <w:sz w:val="22"/>
          <w:szCs w:val="22"/>
        </w:rPr>
        <w:t xml:space="preserve"> could pass through the centre</w:t>
      </w:r>
      <w:r w:rsidR="009D3CCA" w:rsidRPr="004D309F">
        <w:rPr>
          <w:rFonts w:asciiTheme="minorHAnsi" w:hAnsiTheme="minorHAnsi" w:cs="Microsoft Sans Serif"/>
          <w:sz w:val="22"/>
          <w:szCs w:val="22"/>
        </w:rPr>
        <w:t>. National trends sh</w:t>
      </w:r>
      <w:r w:rsidR="009D3CCA">
        <w:rPr>
          <w:rFonts w:asciiTheme="minorHAnsi" w:hAnsiTheme="minorHAnsi" w:cs="Microsoft Sans Serif"/>
          <w:sz w:val="22"/>
          <w:szCs w:val="22"/>
        </w:rPr>
        <w:t>ow a rapid decline of finished cattle sales through live auction marts with 88% going direct to abattoir.  Finished lambs are more balanced with 43% going direct to abattoir.  Abattoirs remain interested in trading through collection centres but this is almost only where some sort of grading process is involved to allow consistency of grade as well as quantity.</w:t>
      </w:r>
    </w:p>
    <w:p w14:paraId="588C5027" w14:textId="77777777" w:rsidR="009D3CCA" w:rsidRPr="008B57E8" w:rsidRDefault="009D3CCA" w:rsidP="006F246D">
      <w:pPr>
        <w:spacing w:before="100" w:beforeAutospacing="1"/>
        <w:ind w:left="283" w:right="283"/>
        <w:contextualSpacing/>
        <w:jc w:val="both"/>
        <w:rPr>
          <w:rFonts w:asciiTheme="minorHAnsi" w:hAnsiTheme="minorHAnsi" w:cs="Microsoft Sans Serif"/>
          <w:sz w:val="22"/>
          <w:szCs w:val="22"/>
        </w:rPr>
      </w:pPr>
    </w:p>
    <w:p w14:paraId="63D715E2" w14:textId="2C10F93C" w:rsidR="00E47F04" w:rsidRDefault="00E47F04" w:rsidP="006F246D">
      <w:pPr>
        <w:spacing w:before="100" w:beforeAutospacing="1"/>
        <w:ind w:left="283" w:right="283"/>
        <w:contextualSpacing/>
        <w:jc w:val="both"/>
        <w:rPr>
          <w:rFonts w:asciiTheme="minorHAnsi" w:hAnsiTheme="minorHAnsi" w:cs="Microsoft Sans Serif"/>
          <w:sz w:val="22"/>
          <w:szCs w:val="22"/>
        </w:rPr>
      </w:pPr>
      <w:r w:rsidRPr="008B57E8">
        <w:rPr>
          <w:rFonts w:asciiTheme="minorHAnsi" w:hAnsiTheme="minorHAnsi" w:cs="Microsoft Sans Serif"/>
          <w:sz w:val="22"/>
          <w:szCs w:val="22"/>
        </w:rPr>
        <w:t xml:space="preserve">The </w:t>
      </w:r>
      <w:r>
        <w:rPr>
          <w:rFonts w:asciiTheme="minorHAnsi" w:hAnsiTheme="minorHAnsi" w:cs="Microsoft Sans Serif"/>
          <w:sz w:val="22"/>
          <w:szCs w:val="22"/>
        </w:rPr>
        <w:t>study</w:t>
      </w:r>
      <w:r w:rsidRPr="008B57E8">
        <w:rPr>
          <w:rFonts w:asciiTheme="minorHAnsi" w:hAnsiTheme="minorHAnsi" w:cs="Microsoft Sans Serif"/>
          <w:sz w:val="22"/>
          <w:szCs w:val="22"/>
        </w:rPr>
        <w:t xml:space="preserve"> modelled </w:t>
      </w:r>
      <w:r>
        <w:rPr>
          <w:rFonts w:asciiTheme="minorHAnsi" w:hAnsiTheme="minorHAnsi" w:cs="Microsoft Sans Serif"/>
          <w:sz w:val="22"/>
          <w:szCs w:val="22"/>
        </w:rPr>
        <w:t>3</w:t>
      </w:r>
      <w:r w:rsidRPr="008B57E8">
        <w:rPr>
          <w:rFonts w:asciiTheme="minorHAnsi" w:hAnsiTheme="minorHAnsi" w:cs="Microsoft Sans Serif"/>
          <w:sz w:val="22"/>
          <w:szCs w:val="22"/>
        </w:rPr>
        <w:t xml:space="preserve"> alternatives for a</w:t>
      </w:r>
      <w:r w:rsidR="00D51C2E">
        <w:rPr>
          <w:rFonts w:asciiTheme="minorHAnsi" w:hAnsiTheme="minorHAnsi" w:cs="Microsoft Sans Serif"/>
          <w:sz w:val="22"/>
          <w:szCs w:val="22"/>
        </w:rPr>
        <w:t>n Isle of Wight</w:t>
      </w:r>
      <w:r w:rsidRPr="008B57E8">
        <w:rPr>
          <w:rFonts w:asciiTheme="minorHAnsi" w:hAnsiTheme="minorHAnsi" w:cs="Microsoft Sans Serif"/>
          <w:sz w:val="22"/>
          <w:szCs w:val="22"/>
        </w:rPr>
        <w:t xml:space="preserve"> livestock collection centre</w:t>
      </w:r>
      <w:r w:rsidR="00D51C2E">
        <w:rPr>
          <w:rFonts w:asciiTheme="minorHAnsi" w:hAnsiTheme="minorHAnsi" w:cs="Microsoft Sans Serif"/>
          <w:sz w:val="22"/>
          <w:szCs w:val="22"/>
        </w:rPr>
        <w:t>. In sum</w:t>
      </w:r>
      <w:r w:rsidR="006F246D">
        <w:rPr>
          <w:rFonts w:asciiTheme="minorHAnsi" w:hAnsiTheme="minorHAnsi" w:cs="Microsoft Sans Serif"/>
          <w:sz w:val="22"/>
          <w:szCs w:val="22"/>
        </w:rPr>
        <w:t>m</w:t>
      </w:r>
      <w:r w:rsidR="00D51C2E">
        <w:rPr>
          <w:rFonts w:asciiTheme="minorHAnsi" w:hAnsiTheme="minorHAnsi" w:cs="Microsoft Sans Serif"/>
          <w:sz w:val="22"/>
          <w:szCs w:val="22"/>
        </w:rPr>
        <w:t>ary</w:t>
      </w:r>
      <w:r w:rsidRPr="008B57E8">
        <w:rPr>
          <w:rFonts w:asciiTheme="minorHAnsi" w:hAnsiTheme="minorHAnsi" w:cs="Microsoft Sans Serif"/>
          <w:sz w:val="22"/>
          <w:szCs w:val="22"/>
        </w:rPr>
        <w:t>:</w:t>
      </w:r>
    </w:p>
    <w:p w14:paraId="2E6FD6E5" w14:textId="77777777" w:rsidR="005B0155" w:rsidRPr="008B57E8" w:rsidRDefault="005B0155" w:rsidP="006F246D">
      <w:pPr>
        <w:spacing w:before="100" w:beforeAutospacing="1"/>
        <w:ind w:left="283" w:right="283" w:firstLine="720"/>
        <w:contextualSpacing/>
        <w:jc w:val="both"/>
        <w:rPr>
          <w:rFonts w:asciiTheme="minorHAnsi" w:hAnsiTheme="minorHAnsi" w:cs="Microsoft Sans Serif"/>
          <w:sz w:val="22"/>
          <w:szCs w:val="22"/>
        </w:rPr>
      </w:pPr>
    </w:p>
    <w:p w14:paraId="4D6F74D0" w14:textId="77777777" w:rsidR="00E47F04" w:rsidRDefault="00E47F04" w:rsidP="004D309F">
      <w:pPr>
        <w:numPr>
          <w:ilvl w:val="0"/>
          <w:numId w:val="6"/>
        </w:numPr>
        <w:spacing w:before="100" w:beforeAutospacing="1"/>
        <w:ind w:left="643" w:right="283"/>
        <w:contextualSpacing/>
        <w:jc w:val="both"/>
        <w:rPr>
          <w:rFonts w:asciiTheme="minorHAnsi" w:hAnsiTheme="minorHAnsi" w:cs="Microsoft Sans Serif"/>
          <w:sz w:val="22"/>
          <w:szCs w:val="22"/>
        </w:rPr>
      </w:pPr>
      <w:r w:rsidRPr="008B57E8">
        <w:rPr>
          <w:rFonts w:asciiTheme="minorHAnsi" w:hAnsiTheme="minorHAnsi" w:cs="Microsoft Sans Serif"/>
          <w:b/>
          <w:sz w:val="22"/>
          <w:szCs w:val="22"/>
        </w:rPr>
        <w:t>Basic facility</w:t>
      </w:r>
      <w:r w:rsidRPr="008B57E8">
        <w:rPr>
          <w:rFonts w:asciiTheme="minorHAnsi" w:hAnsiTheme="minorHAnsi" w:cs="Microsoft Sans Serif"/>
          <w:sz w:val="22"/>
          <w:szCs w:val="22"/>
        </w:rPr>
        <w:t xml:space="preserve"> – essential a “concrete pad” with basic drainage and washdown facilities and penning; not suitable for non-agricultural uses with a capital construction cost (excluding VAT) of </w:t>
      </w:r>
      <w:r w:rsidRPr="008B57E8">
        <w:rPr>
          <w:rFonts w:asciiTheme="minorHAnsi" w:hAnsiTheme="minorHAnsi" w:cs="Microsoft Sans Serif"/>
          <w:b/>
          <w:sz w:val="22"/>
          <w:szCs w:val="22"/>
        </w:rPr>
        <w:t>£139,924</w:t>
      </w:r>
      <w:r w:rsidRPr="008B57E8">
        <w:rPr>
          <w:rFonts w:asciiTheme="minorHAnsi" w:hAnsiTheme="minorHAnsi" w:cs="Microsoft Sans Serif"/>
          <w:sz w:val="22"/>
          <w:szCs w:val="22"/>
        </w:rPr>
        <w:t xml:space="preserve"> and an annual running cost of </w:t>
      </w:r>
      <w:r w:rsidRPr="008B57E8">
        <w:rPr>
          <w:rFonts w:asciiTheme="minorHAnsi" w:hAnsiTheme="minorHAnsi" w:cs="Microsoft Sans Serif"/>
          <w:b/>
          <w:sz w:val="22"/>
          <w:szCs w:val="22"/>
        </w:rPr>
        <w:t>£29,489</w:t>
      </w:r>
      <w:r w:rsidRPr="008B57E8">
        <w:rPr>
          <w:rFonts w:asciiTheme="minorHAnsi" w:hAnsiTheme="minorHAnsi" w:cs="Microsoft Sans Serif"/>
          <w:sz w:val="22"/>
          <w:szCs w:val="22"/>
        </w:rPr>
        <w:t>.</w:t>
      </w:r>
    </w:p>
    <w:p w14:paraId="47E1371D" w14:textId="77777777" w:rsidR="00E47F04" w:rsidRPr="008D3381" w:rsidRDefault="00E47F04" w:rsidP="006F246D">
      <w:pPr>
        <w:spacing w:before="100" w:beforeAutospacing="1"/>
        <w:ind w:left="283" w:right="283"/>
        <w:contextualSpacing/>
        <w:jc w:val="both"/>
        <w:rPr>
          <w:rFonts w:asciiTheme="minorHAnsi" w:hAnsiTheme="minorHAnsi" w:cs="Microsoft Sans Serif"/>
          <w:sz w:val="22"/>
          <w:szCs w:val="22"/>
        </w:rPr>
      </w:pPr>
    </w:p>
    <w:p w14:paraId="260C2E6D" w14:textId="77777777" w:rsidR="00E47F04" w:rsidRPr="008B57E8" w:rsidRDefault="00E47F04" w:rsidP="004D309F">
      <w:pPr>
        <w:numPr>
          <w:ilvl w:val="0"/>
          <w:numId w:val="6"/>
        </w:numPr>
        <w:spacing w:before="100" w:beforeAutospacing="1"/>
        <w:ind w:left="643" w:right="283"/>
        <w:contextualSpacing/>
        <w:jc w:val="both"/>
        <w:rPr>
          <w:rFonts w:asciiTheme="minorHAnsi" w:hAnsiTheme="minorHAnsi" w:cs="Microsoft Sans Serif"/>
          <w:sz w:val="22"/>
          <w:szCs w:val="22"/>
        </w:rPr>
      </w:pPr>
      <w:r>
        <w:rPr>
          <w:rFonts w:asciiTheme="minorHAnsi" w:hAnsiTheme="minorHAnsi" w:cs="Microsoft Sans Serif"/>
          <w:b/>
          <w:sz w:val="22"/>
          <w:szCs w:val="22"/>
        </w:rPr>
        <w:t xml:space="preserve">Balanced facility </w:t>
      </w:r>
      <w:r>
        <w:rPr>
          <w:rFonts w:asciiTheme="minorHAnsi" w:hAnsiTheme="minorHAnsi" w:cs="Microsoft Sans Serif"/>
          <w:sz w:val="22"/>
          <w:szCs w:val="22"/>
        </w:rPr>
        <w:t xml:space="preserve">– Similar infrastructure to the Basic facility but under a steel portal frame building. Capital construction (excluding VAT) of </w:t>
      </w:r>
      <w:r w:rsidRPr="008D3381">
        <w:rPr>
          <w:rFonts w:asciiTheme="minorHAnsi" w:hAnsiTheme="minorHAnsi" w:cs="Microsoft Sans Serif"/>
          <w:b/>
          <w:sz w:val="22"/>
          <w:szCs w:val="22"/>
        </w:rPr>
        <w:t>£217,053</w:t>
      </w:r>
      <w:r>
        <w:rPr>
          <w:rFonts w:asciiTheme="minorHAnsi" w:hAnsiTheme="minorHAnsi" w:cs="Microsoft Sans Serif"/>
          <w:sz w:val="22"/>
          <w:szCs w:val="22"/>
        </w:rPr>
        <w:t xml:space="preserve"> and an annual running cost of </w:t>
      </w:r>
      <w:r w:rsidRPr="008D3381">
        <w:rPr>
          <w:rFonts w:asciiTheme="minorHAnsi" w:hAnsiTheme="minorHAnsi" w:cs="Microsoft Sans Serif"/>
          <w:b/>
          <w:sz w:val="22"/>
          <w:szCs w:val="22"/>
        </w:rPr>
        <w:t>£36,162.</w:t>
      </w:r>
      <w:r>
        <w:rPr>
          <w:rFonts w:asciiTheme="minorHAnsi" w:hAnsiTheme="minorHAnsi" w:cs="Microsoft Sans Serif"/>
          <w:sz w:val="22"/>
          <w:szCs w:val="22"/>
        </w:rPr>
        <w:t xml:space="preserve"> </w:t>
      </w:r>
    </w:p>
    <w:p w14:paraId="3C5DCBBD" w14:textId="77777777" w:rsidR="00E47F04" w:rsidRPr="008B57E8" w:rsidRDefault="00E47F04" w:rsidP="006F246D">
      <w:pPr>
        <w:spacing w:before="100" w:beforeAutospacing="1"/>
        <w:ind w:left="283" w:right="283"/>
        <w:contextualSpacing/>
        <w:jc w:val="both"/>
        <w:rPr>
          <w:rFonts w:asciiTheme="minorHAnsi" w:hAnsiTheme="minorHAnsi" w:cs="Microsoft Sans Serif"/>
          <w:sz w:val="22"/>
          <w:szCs w:val="22"/>
        </w:rPr>
      </w:pPr>
    </w:p>
    <w:p w14:paraId="2C298151" w14:textId="3326A60A" w:rsidR="00E47F04" w:rsidRDefault="00E47F04" w:rsidP="004D309F">
      <w:pPr>
        <w:numPr>
          <w:ilvl w:val="0"/>
          <w:numId w:val="6"/>
        </w:numPr>
        <w:spacing w:before="100" w:beforeAutospacing="1"/>
        <w:ind w:left="643" w:right="283"/>
        <w:contextualSpacing/>
        <w:jc w:val="both"/>
        <w:rPr>
          <w:rFonts w:asciiTheme="minorHAnsi" w:hAnsiTheme="minorHAnsi" w:cs="Microsoft Sans Serif"/>
          <w:sz w:val="22"/>
          <w:szCs w:val="22"/>
        </w:rPr>
      </w:pPr>
      <w:r w:rsidRPr="008B57E8">
        <w:rPr>
          <w:rFonts w:asciiTheme="minorHAnsi" w:hAnsiTheme="minorHAnsi" w:cs="Microsoft Sans Serif"/>
          <w:b/>
          <w:sz w:val="22"/>
          <w:szCs w:val="22"/>
        </w:rPr>
        <w:t>Enhanced model</w:t>
      </w:r>
      <w:r w:rsidRPr="008B57E8">
        <w:rPr>
          <w:rFonts w:asciiTheme="minorHAnsi" w:hAnsiTheme="minorHAnsi" w:cs="Microsoft Sans Serif"/>
          <w:sz w:val="22"/>
          <w:szCs w:val="22"/>
        </w:rPr>
        <w:t xml:space="preserve"> - incorporating all of the features of the basic model but in addition enclosed by a steel portal frame building incorporating suitably specified additional space suitable for letting to complimentary third parties – capital cost (excluding VAT) of </w:t>
      </w:r>
      <w:r w:rsidRPr="008B57E8">
        <w:rPr>
          <w:rFonts w:asciiTheme="minorHAnsi" w:hAnsiTheme="minorHAnsi" w:cs="Microsoft Sans Serif"/>
          <w:b/>
          <w:sz w:val="22"/>
          <w:szCs w:val="22"/>
        </w:rPr>
        <w:t>£660,678</w:t>
      </w:r>
      <w:r w:rsidRPr="008B57E8">
        <w:rPr>
          <w:rFonts w:asciiTheme="minorHAnsi" w:hAnsiTheme="minorHAnsi" w:cs="Microsoft Sans Serif"/>
          <w:sz w:val="22"/>
          <w:szCs w:val="22"/>
        </w:rPr>
        <w:t xml:space="preserve"> and an annual running cost </w:t>
      </w:r>
      <w:r w:rsidRPr="008B57E8">
        <w:rPr>
          <w:rFonts w:asciiTheme="minorHAnsi" w:hAnsiTheme="minorHAnsi" w:cs="Microsoft Sans Serif"/>
          <w:b/>
          <w:sz w:val="22"/>
          <w:szCs w:val="22"/>
        </w:rPr>
        <w:t>£45,353</w:t>
      </w:r>
      <w:r w:rsidRPr="008B57E8">
        <w:rPr>
          <w:rFonts w:asciiTheme="minorHAnsi" w:hAnsiTheme="minorHAnsi" w:cs="Microsoft Sans Serif"/>
          <w:sz w:val="22"/>
          <w:szCs w:val="22"/>
        </w:rPr>
        <w:t>.</w:t>
      </w:r>
    </w:p>
    <w:p w14:paraId="6CBCA8BE" w14:textId="77777777" w:rsidR="00A00377" w:rsidRPr="00A00377" w:rsidRDefault="00A00377" w:rsidP="006F246D">
      <w:pPr>
        <w:spacing w:before="100" w:beforeAutospacing="1"/>
        <w:ind w:left="283" w:right="283"/>
        <w:contextualSpacing/>
        <w:jc w:val="both"/>
        <w:rPr>
          <w:rFonts w:asciiTheme="minorHAnsi" w:hAnsiTheme="minorHAnsi" w:cs="Microsoft Sans Serif"/>
          <w:sz w:val="22"/>
          <w:szCs w:val="22"/>
        </w:rPr>
      </w:pPr>
    </w:p>
    <w:p w14:paraId="77DB94B1" w14:textId="5DA56D6B" w:rsidR="005B0155" w:rsidRPr="006F246D" w:rsidRDefault="00E47F04" w:rsidP="006F246D">
      <w:pPr>
        <w:spacing w:before="100" w:beforeAutospacing="1"/>
        <w:ind w:left="283" w:right="283"/>
        <w:contextualSpacing/>
        <w:jc w:val="both"/>
        <w:rPr>
          <w:rFonts w:asciiTheme="minorHAnsi" w:hAnsiTheme="minorHAnsi" w:cs="Microsoft Sans Serif"/>
          <w:bCs/>
          <w:sz w:val="22"/>
          <w:szCs w:val="22"/>
        </w:rPr>
      </w:pPr>
      <w:r w:rsidRPr="008B57E8">
        <w:rPr>
          <w:rFonts w:asciiTheme="minorHAnsi" w:hAnsiTheme="minorHAnsi" w:cs="Microsoft Sans Serif"/>
          <w:sz w:val="22"/>
          <w:szCs w:val="22"/>
        </w:rPr>
        <w:t xml:space="preserve">Based around standard industry data </w:t>
      </w:r>
      <w:r w:rsidR="00AC5D05">
        <w:rPr>
          <w:rFonts w:asciiTheme="minorHAnsi" w:hAnsiTheme="minorHAnsi" w:cs="Microsoft Sans Serif"/>
          <w:sz w:val="22"/>
          <w:szCs w:val="22"/>
        </w:rPr>
        <w:t>from</w:t>
      </w:r>
      <w:r w:rsidRPr="008B57E8">
        <w:rPr>
          <w:rFonts w:asciiTheme="minorHAnsi" w:hAnsiTheme="minorHAnsi" w:cs="Microsoft Sans Serif"/>
          <w:sz w:val="22"/>
          <w:szCs w:val="22"/>
        </w:rPr>
        <w:t xml:space="preserve"> existing collection centre</w:t>
      </w:r>
      <w:r w:rsidR="00AC5D05">
        <w:rPr>
          <w:rFonts w:asciiTheme="minorHAnsi" w:hAnsiTheme="minorHAnsi" w:cs="Microsoft Sans Serif"/>
          <w:sz w:val="22"/>
          <w:szCs w:val="22"/>
        </w:rPr>
        <w:t>s</w:t>
      </w:r>
      <w:r w:rsidRPr="008B57E8">
        <w:rPr>
          <w:rFonts w:asciiTheme="minorHAnsi" w:hAnsiTheme="minorHAnsi" w:cs="Microsoft Sans Serif"/>
          <w:sz w:val="22"/>
          <w:szCs w:val="22"/>
        </w:rPr>
        <w:t xml:space="preserve"> </w:t>
      </w:r>
      <w:r w:rsidR="00D51C2E">
        <w:rPr>
          <w:rFonts w:asciiTheme="minorHAnsi" w:hAnsiTheme="minorHAnsi" w:cs="Microsoft Sans Serif"/>
          <w:sz w:val="22"/>
          <w:szCs w:val="22"/>
        </w:rPr>
        <w:t xml:space="preserve"> – see page </w:t>
      </w:r>
      <w:r w:rsidR="005B0155">
        <w:rPr>
          <w:rFonts w:asciiTheme="minorHAnsi" w:hAnsiTheme="minorHAnsi" w:cs="Microsoft Sans Serif"/>
          <w:sz w:val="22"/>
          <w:szCs w:val="22"/>
        </w:rPr>
        <w:t xml:space="preserve">32 </w:t>
      </w:r>
      <w:r w:rsidR="006F246D">
        <w:rPr>
          <w:rFonts w:asciiTheme="minorHAnsi" w:hAnsiTheme="minorHAnsi" w:cs="Microsoft Sans Serif"/>
          <w:sz w:val="22"/>
          <w:szCs w:val="22"/>
        </w:rPr>
        <w:t xml:space="preserve">of the study </w:t>
      </w:r>
      <w:r w:rsidR="005B0155">
        <w:rPr>
          <w:rFonts w:asciiTheme="minorHAnsi" w:hAnsiTheme="minorHAnsi" w:cs="Microsoft Sans Serif"/>
          <w:sz w:val="22"/>
          <w:szCs w:val="22"/>
        </w:rPr>
        <w:t xml:space="preserve">for full details </w:t>
      </w:r>
      <w:r w:rsidR="00AC5D05">
        <w:rPr>
          <w:rFonts w:asciiTheme="minorHAnsi" w:hAnsiTheme="minorHAnsi" w:cs="Microsoft Sans Serif"/>
          <w:sz w:val="22"/>
          <w:szCs w:val="22"/>
        </w:rPr>
        <w:t>– to include</w:t>
      </w:r>
      <w:r w:rsidR="005B0155" w:rsidRPr="008B57E8">
        <w:rPr>
          <w:rFonts w:asciiTheme="minorHAnsi" w:hAnsiTheme="minorHAnsi" w:cs="Microsoft Sans Serif"/>
          <w:sz w:val="22"/>
          <w:szCs w:val="22"/>
        </w:rPr>
        <w:t xml:space="preserve"> a cautious model with respect to “additional income” for the enhanced model there is a </w:t>
      </w:r>
      <w:r w:rsidR="005B0155" w:rsidRPr="006F246D">
        <w:rPr>
          <w:rFonts w:asciiTheme="minorHAnsi" w:hAnsiTheme="minorHAnsi" w:cs="Microsoft Sans Serif"/>
          <w:bCs/>
          <w:sz w:val="22"/>
          <w:szCs w:val="22"/>
        </w:rPr>
        <w:t xml:space="preserve">net cash surplus for the basic model of </w:t>
      </w:r>
      <w:r w:rsidR="005B0155" w:rsidRPr="000202BF">
        <w:rPr>
          <w:rFonts w:asciiTheme="minorHAnsi" w:hAnsiTheme="minorHAnsi" w:cs="Microsoft Sans Serif"/>
          <w:b/>
          <w:sz w:val="22"/>
          <w:szCs w:val="22"/>
        </w:rPr>
        <w:t>£1,852</w:t>
      </w:r>
      <w:r w:rsidR="005B0155" w:rsidRPr="006F246D">
        <w:rPr>
          <w:rFonts w:asciiTheme="minorHAnsi" w:hAnsiTheme="minorHAnsi" w:cs="Microsoft Sans Serif"/>
          <w:bCs/>
          <w:sz w:val="22"/>
          <w:szCs w:val="22"/>
        </w:rPr>
        <w:t xml:space="preserve"> per annum, </w:t>
      </w:r>
      <w:r w:rsidR="005B0155" w:rsidRPr="000202BF">
        <w:rPr>
          <w:rFonts w:asciiTheme="minorHAnsi" w:hAnsiTheme="minorHAnsi" w:cs="Microsoft Sans Serif"/>
          <w:b/>
          <w:sz w:val="22"/>
          <w:szCs w:val="22"/>
        </w:rPr>
        <w:t>£1,282</w:t>
      </w:r>
      <w:r w:rsidR="005B0155" w:rsidRPr="006F246D">
        <w:rPr>
          <w:rFonts w:asciiTheme="minorHAnsi" w:hAnsiTheme="minorHAnsi" w:cs="Microsoft Sans Serif"/>
          <w:bCs/>
          <w:sz w:val="22"/>
          <w:szCs w:val="22"/>
        </w:rPr>
        <w:t xml:space="preserve"> per annum for the balanced model and </w:t>
      </w:r>
      <w:r w:rsidR="005B0155" w:rsidRPr="000202BF">
        <w:rPr>
          <w:rFonts w:asciiTheme="minorHAnsi" w:hAnsiTheme="minorHAnsi" w:cs="Microsoft Sans Serif"/>
          <w:b/>
          <w:sz w:val="22"/>
          <w:szCs w:val="22"/>
        </w:rPr>
        <w:t>£14,191</w:t>
      </w:r>
      <w:r w:rsidR="005B0155" w:rsidRPr="006F246D">
        <w:rPr>
          <w:rFonts w:asciiTheme="minorHAnsi" w:hAnsiTheme="minorHAnsi" w:cs="Microsoft Sans Serif"/>
          <w:bCs/>
          <w:sz w:val="22"/>
          <w:szCs w:val="22"/>
        </w:rPr>
        <w:t xml:space="preserve"> for the enhanced model.</w:t>
      </w:r>
    </w:p>
    <w:p w14:paraId="6D877FB9" w14:textId="77777777" w:rsidR="006F246D" w:rsidRDefault="006F246D" w:rsidP="006F246D">
      <w:pPr>
        <w:spacing w:before="100" w:beforeAutospacing="1"/>
        <w:ind w:left="283" w:right="283"/>
        <w:contextualSpacing/>
        <w:jc w:val="both"/>
        <w:rPr>
          <w:rFonts w:asciiTheme="minorHAnsi" w:hAnsiTheme="minorHAnsi" w:cs="Microsoft Sans Serif"/>
          <w:sz w:val="22"/>
          <w:szCs w:val="22"/>
        </w:rPr>
      </w:pPr>
    </w:p>
    <w:p w14:paraId="25CFADE7" w14:textId="441CB6D8" w:rsidR="005B0155" w:rsidRDefault="006F246D" w:rsidP="006F246D">
      <w:pPr>
        <w:spacing w:before="100" w:beforeAutospacing="1"/>
        <w:ind w:left="283" w:right="283"/>
        <w:contextualSpacing/>
        <w:jc w:val="both"/>
        <w:rPr>
          <w:rFonts w:asciiTheme="minorHAnsi" w:hAnsiTheme="minorHAnsi" w:cs="Microsoft Sans Serif"/>
          <w:sz w:val="22"/>
          <w:szCs w:val="22"/>
        </w:rPr>
      </w:pPr>
      <w:r>
        <w:rPr>
          <w:rFonts w:asciiTheme="minorHAnsi" w:hAnsiTheme="minorHAnsi" w:cs="Microsoft Sans Serif"/>
          <w:sz w:val="22"/>
          <w:szCs w:val="22"/>
        </w:rPr>
        <w:t>Typical Charges:</w:t>
      </w:r>
    </w:p>
    <w:p w14:paraId="7F4819FF" w14:textId="0BC6B7C5" w:rsidR="005B0155" w:rsidRDefault="005B0155" w:rsidP="006F246D">
      <w:pPr>
        <w:spacing w:before="100" w:beforeAutospacing="1"/>
        <w:ind w:left="2880" w:right="283" w:firstLine="720"/>
        <w:contextualSpacing/>
        <w:jc w:val="both"/>
        <w:rPr>
          <w:rFonts w:asciiTheme="minorHAnsi" w:hAnsiTheme="minorHAnsi" w:cs="Microsoft Sans Serif"/>
          <w:sz w:val="22"/>
          <w:szCs w:val="22"/>
        </w:rPr>
      </w:pPr>
      <w:r w:rsidRPr="005B0155">
        <w:rPr>
          <w:rFonts w:asciiTheme="minorHAnsi" w:hAnsiTheme="minorHAnsi" w:cs="Microsoft Sans Serif"/>
          <w:b/>
          <w:bCs/>
          <w:sz w:val="22"/>
          <w:szCs w:val="22"/>
        </w:rPr>
        <w:t>Cattle</w:t>
      </w:r>
      <w:r>
        <w:rPr>
          <w:rFonts w:asciiTheme="minorHAnsi" w:hAnsiTheme="minorHAnsi" w:cs="Microsoft Sans Serif"/>
          <w:b/>
          <w:bCs/>
          <w:sz w:val="22"/>
          <w:szCs w:val="22"/>
        </w:rPr>
        <w:tab/>
      </w:r>
      <w:r>
        <w:rPr>
          <w:rFonts w:asciiTheme="minorHAnsi" w:hAnsiTheme="minorHAnsi" w:cs="Microsoft Sans Serif"/>
          <w:b/>
          <w:bCs/>
          <w:sz w:val="22"/>
          <w:szCs w:val="22"/>
        </w:rPr>
        <w:tab/>
      </w:r>
      <w:r>
        <w:rPr>
          <w:rFonts w:asciiTheme="minorHAnsi" w:hAnsiTheme="minorHAnsi" w:cs="Microsoft Sans Serif"/>
          <w:b/>
          <w:bCs/>
          <w:sz w:val="22"/>
          <w:szCs w:val="22"/>
        </w:rPr>
        <w:tab/>
      </w:r>
      <w:r w:rsidRPr="005B0155">
        <w:rPr>
          <w:rFonts w:asciiTheme="minorHAnsi" w:hAnsiTheme="minorHAnsi" w:cs="Microsoft Sans Serif"/>
          <w:b/>
          <w:bCs/>
          <w:sz w:val="22"/>
          <w:szCs w:val="22"/>
        </w:rPr>
        <w:t>Sheep</w:t>
      </w:r>
    </w:p>
    <w:p w14:paraId="69FE7047" w14:textId="6184B8C3" w:rsidR="005B0155" w:rsidRDefault="005B0155" w:rsidP="006F246D">
      <w:pPr>
        <w:spacing w:before="100" w:beforeAutospacing="1"/>
        <w:ind w:left="283" w:right="283" w:firstLine="720"/>
        <w:contextualSpacing/>
        <w:jc w:val="both"/>
        <w:rPr>
          <w:rFonts w:asciiTheme="minorHAnsi" w:hAnsiTheme="minorHAnsi" w:cs="Microsoft Sans Serif"/>
          <w:sz w:val="22"/>
          <w:szCs w:val="22"/>
        </w:rPr>
      </w:pPr>
      <w:r w:rsidRPr="005B0155">
        <w:rPr>
          <w:rFonts w:asciiTheme="minorHAnsi" w:hAnsiTheme="minorHAnsi" w:cs="Microsoft Sans Serif"/>
          <w:sz w:val="22"/>
          <w:szCs w:val="22"/>
        </w:rPr>
        <w:t>Handling Charge</w:t>
      </w:r>
      <w:r>
        <w:rPr>
          <w:rFonts w:asciiTheme="minorHAnsi" w:hAnsiTheme="minorHAnsi" w:cs="Microsoft Sans Serif"/>
          <w:sz w:val="22"/>
          <w:szCs w:val="22"/>
        </w:rPr>
        <w:tab/>
      </w:r>
      <w:r>
        <w:rPr>
          <w:rFonts w:asciiTheme="minorHAnsi" w:hAnsiTheme="minorHAnsi" w:cs="Microsoft Sans Serif"/>
          <w:sz w:val="22"/>
          <w:szCs w:val="22"/>
        </w:rPr>
        <w:tab/>
        <w:t>£7.00</w:t>
      </w:r>
      <w:r>
        <w:rPr>
          <w:rFonts w:asciiTheme="minorHAnsi" w:hAnsiTheme="minorHAnsi" w:cs="Microsoft Sans Serif"/>
          <w:sz w:val="22"/>
          <w:szCs w:val="22"/>
        </w:rPr>
        <w:tab/>
      </w:r>
      <w:r>
        <w:rPr>
          <w:rFonts w:asciiTheme="minorHAnsi" w:hAnsiTheme="minorHAnsi" w:cs="Microsoft Sans Serif"/>
          <w:sz w:val="22"/>
          <w:szCs w:val="22"/>
        </w:rPr>
        <w:tab/>
      </w:r>
      <w:r>
        <w:rPr>
          <w:rFonts w:asciiTheme="minorHAnsi" w:hAnsiTheme="minorHAnsi" w:cs="Microsoft Sans Serif"/>
          <w:sz w:val="22"/>
          <w:szCs w:val="22"/>
        </w:rPr>
        <w:tab/>
        <w:t>£2.50</w:t>
      </w:r>
    </w:p>
    <w:p w14:paraId="6D25278B" w14:textId="3BB0F385" w:rsidR="005B0155" w:rsidRDefault="005B0155" w:rsidP="006F246D">
      <w:pPr>
        <w:spacing w:before="100" w:beforeAutospacing="1"/>
        <w:ind w:left="283" w:right="283" w:firstLine="720"/>
        <w:contextualSpacing/>
        <w:jc w:val="both"/>
        <w:rPr>
          <w:rFonts w:asciiTheme="minorHAnsi" w:hAnsiTheme="minorHAnsi" w:cs="Microsoft Sans Serif"/>
          <w:sz w:val="22"/>
          <w:szCs w:val="22"/>
        </w:rPr>
      </w:pPr>
      <w:r>
        <w:rPr>
          <w:rFonts w:asciiTheme="minorHAnsi" w:hAnsiTheme="minorHAnsi" w:cs="Microsoft Sans Serif"/>
          <w:sz w:val="22"/>
          <w:szCs w:val="22"/>
        </w:rPr>
        <w:t>Overnight Lairage</w:t>
      </w:r>
      <w:r>
        <w:rPr>
          <w:rFonts w:asciiTheme="minorHAnsi" w:hAnsiTheme="minorHAnsi" w:cs="Microsoft Sans Serif"/>
          <w:sz w:val="22"/>
          <w:szCs w:val="22"/>
        </w:rPr>
        <w:tab/>
      </w:r>
      <w:r>
        <w:rPr>
          <w:rFonts w:asciiTheme="minorHAnsi" w:hAnsiTheme="minorHAnsi" w:cs="Microsoft Sans Serif"/>
          <w:sz w:val="22"/>
          <w:szCs w:val="22"/>
        </w:rPr>
        <w:tab/>
        <w:t>£2.00</w:t>
      </w:r>
      <w:r>
        <w:rPr>
          <w:rFonts w:asciiTheme="minorHAnsi" w:hAnsiTheme="minorHAnsi" w:cs="Microsoft Sans Serif"/>
          <w:sz w:val="22"/>
          <w:szCs w:val="22"/>
        </w:rPr>
        <w:tab/>
      </w:r>
      <w:r>
        <w:rPr>
          <w:rFonts w:asciiTheme="minorHAnsi" w:hAnsiTheme="minorHAnsi" w:cs="Microsoft Sans Serif"/>
          <w:sz w:val="22"/>
          <w:szCs w:val="22"/>
        </w:rPr>
        <w:tab/>
      </w:r>
      <w:r>
        <w:rPr>
          <w:rFonts w:asciiTheme="minorHAnsi" w:hAnsiTheme="minorHAnsi" w:cs="Microsoft Sans Serif"/>
          <w:sz w:val="22"/>
          <w:szCs w:val="22"/>
        </w:rPr>
        <w:tab/>
        <w:t>£1.00</w:t>
      </w:r>
    </w:p>
    <w:p w14:paraId="1C167CF2" w14:textId="761461B9" w:rsidR="005B0155" w:rsidRDefault="005B0155" w:rsidP="006F246D">
      <w:pPr>
        <w:spacing w:before="100" w:beforeAutospacing="1"/>
        <w:ind w:left="283" w:right="283" w:firstLine="720"/>
        <w:contextualSpacing/>
        <w:jc w:val="both"/>
        <w:rPr>
          <w:rFonts w:asciiTheme="minorHAnsi" w:hAnsiTheme="minorHAnsi" w:cs="Microsoft Sans Serif"/>
          <w:sz w:val="22"/>
          <w:szCs w:val="22"/>
        </w:rPr>
      </w:pPr>
      <w:r>
        <w:rPr>
          <w:rFonts w:asciiTheme="minorHAnsi" w:hAnsiTheme="minorHAnsi" w:cs="Microsoft Sans Serif"/>
          <w:sz w:val="22"/>
          <w:szCs w:val="22"/>
        </w:rPr>
        <w:t>Wash Station Charge</w:t>
      </w:r>
      <w:r>
        <w:rPr>
          <w:rFonts w:asciiTheme="minorHAnsi" w:hAnsiTheme="minorHAnsi" w:cs="Microsoft Sans Serif"/>
          <w:sz w:val="22"/>
          <w:szCs w:val="22"/>
        </w:rPr>
        <w:tab/>
      </w:r>
      <w:r>
        <w:rPr>
          <w:rFonts w:asciiTheme="minorHAnsi" w:hAnsiTheme="minorHAnsi" w:cs="Microsoft Sans Serif"/>
          <w:sz w:val="22"/>
          <w:szCs w:val="22"/>
        </w:rPr>
        <w:tab/>
      </w:r>
      <w:r>
        <w:rPr>
          <w:rFonts w:asciiTheme="minorHAnsi" w:hAnsiTheme="minorHAnsi" w:cs="Microsoft Sans Serif"/>
          <w:sz w:val="22"/>
          <w:szCs w:val="22"/>
        </w:rPr>
        <w:tab/>
        <w:t>£5 per vehicle</w:t>
      </w:r>
    </w:p>
    <w:p w14:paraId="38A275B0" w14:textId="65492AFA" w:rsidR="00E47F04" w:rsidRPr="008B57E8" w:rsidRDefault="006F246D" w:rsidP="006F246D">
      <w:pPr>
        <w:spacing w:before="100" w:beforeAutospacing="1"/>
        <w:ind w:left="283" w:right="283"/>
        <w:jc w:val="both"/>
        <w:rPr>
          <w:rFonts w:asciiTheme="minorHAnsi" w:hAnsiTheme="minorHAnsi" w:cs="Microsoft Sans Serif"/>
          <w:sz w:val="22"/>
          <w:szCs w:val="22"/>
        </w:rPr>
      </w:pPr>
      <w:r>
        <w:rPr>
          <w:rFonts w:asciiTheme="minorHAnsi" w:hAnsiTheme="minorHAnsi" w:cs="Microsoft Sans Serif"/>
          <w:sz w:val="22"/>
          <w:szCs w:val="22"/>
        </w:rPr>
        <w:t>Based upon the operating models reviewed</w:t>
      </w:r>
      <w:r w:rsidR="004D309F">
        <w:rPr>
          <w:rFonts w:asciiTheme="minorHAnsi" w:hAnsiTheme="minorHAnsi" w:cs="Microsoft Sans Serif"/>
          <w:sz w:val="22"/>
          <w:szCs w:val="22"/>
        </w:rPr>
        <w:t>,</w:t>
      </w:r>
      <w:r>
        <w:rPr>
          <w:rFonts w:asciiTheme="minorHAnsi" w:hAnsiTheme="minorHAnsi" w:cs="Microsoft Sans Serif"/>
          <w:sz w:val="22"/>
          <w:szCs w:val="22"/>
        </w:rPr>
        <w:t xml:space="preserve"> f</w:t>
      </w:r>
      <w:r w:rsidR="00E47F04" w:rsidRPr="008B57E8">
        <w:rPr>
          <w:rFonts w:asciiTheme="minorHAnsi" w:hAnsiTheme="minorHAnsi" w:cs="Microsoft Sans Serif"/>
          <w:sz w:val="22"/>
          <w:szCs w:val="22"/>
        </w:rPr>
        <w:t>inancial viability of the facility is a challenge</w:t>
      </w:r>
      <w:r>
        <w:rPr>
          <w:rFonts w:asciiTheme="minorHAnsi" w:hAnsiTheme="minorHAnsi" w:cs="Microsoft Sans Serif"/>
          <w:sz w:val="22"/>
          <w:szCs w:val="22"/>
        </w:rPr>
        <w:t>,</w:t>
      </w:r>
      <w:r w:rsidR="00E47F04" w:rsidRPr="008B57E8">
        <w:rPr>
          <w:rFonts w:asciiTheme="minorHAnsi" w:hAnsiTheme="minorHAnsi" w:cs="Microsoft Sans Serif"/>
          <w:sz w:val="22"/>
          <w:szCs w:val="22"/>
        </w:rPr>
        <w:t xml:space="preserve"> partly due to the inherently lower throughput that an Island farming community engenders but also due to the inability to recover costs from producers facing slim margins.  </w:t>
      </w:r>
    </w:p>
    <w:p w14:paraId="30C502B9" w14:textId="0D4C3A8B" w:rsidR="00E47F04" w:rsidRDefault="00E47F04" w:rsidP="000202BF">
      <w:pPr>
        <w:spacing w:before="100" w:beforeAutospacing="1"/>
        <w:ind w:left="283" w:right="283"/>
        <w:jc w:val="both"/>
        <w:rPr>
          <w:rFonts w:asciiTheme="minorHAnsi" w:hAnsiTheme="minorHAnsi" w:cs="Microsoft Sans Serif"/>
          <w:sz w:val="22"/>
          <w:szCs w:val="22"/>
        </w:rPr>
      </w:pPr>
      <w:r w:rsidRPr="008B57E8">
        <w:rPr>
          <w:rFonts w:asciiTheme="minorHAnsi" w:hAnsiTheme="minorHAnsi" w:cs="Microsoft Sans Serif"/>
          <w:sz w:val="22"/>
          <w:szCs w:val="22"/>
        </w:rPr>
        <w:t xml:space="preserve">The need and demand for a </w:t>
      </w:r>
      <w:r w:rsidRPr="008B57E8">
        <w:rPr>
          <w:rFonts w:asciiTheme="minorHAnsi" w:hAnsiTheme="minorHAnsi" w:cs="Microsoft Sans Serif"/>
          <w:b/>
          <w:sz w:val="22"/>
          <w:szCs w:val="22"/>
        </w:rPr>
        <w:t xml:space="preserve">basic </w:t>
      </w:r>
      <w:r w:rsidRPr="008B57E8">
        <w:rPr>
          <w:rFonts w:asciiTheme="minorHAnsi" w:hAnsiTheme="minorHAnsi" w:cs="Microsoft Sans Serif"/>
          <w:sz w:val="22"/>
          <w:szCs w:val="22"/>
        </w:rPr>
        <w:t xml:space="preserve">livestock collection centre on the Isle of Wight appears to be well established, lower risk and practically operable.  </w:t>
      </w:r>
      <w:r w:rsidR="000202BF">
        <w:rPr>
          <w:rFonts w:asciiTheme="minorHAnsi" w:hAnsiTheme="minorHAnsi" w:cs="Microsoft Sans Serif"/>
          <w:sz w:val="22"/>
          <w:szCs w:val="22"/>
        </w:rPr>
        <w:t xml:space="preserve">The </w:t>
      </w:r>
      <w:r w:rsidR="000202BF" w:rsidRPr="000202BF">
        <w:rPr>
          <w:rFonts w:asciiTheme="minorHAnsi" w:hAnsiTheme="minorHAnsi" w:cs="Microsoft Sans Serif"/>
          <w:b/>
          <w:bCs/>
          <w:sz w:val="22"/>
          <w:szCs w:val="22"/>
        </w:rPr>
        <w:t>balanced</w:t>
      </w:r>
      <w:r w:rsidR="000202BF">
        <w:rPr>
          <w:rFonts w:asciiTheme="minorHAnsi" w:hAnsiTheme="minorHAnsi" w:cs="Microsoft Sans Serif"/>
          <w:sz w:val="22"/>
          <w:szCs w:val="22"/>
        </w:rPr>
        <w:t xml:space="preserve"> facility does not necessarily provide any additional income streams, but the infrastructure provided may be more useful for future uses of the site. The </w:t>
      </w:r>
      <w:r w:rsidR="000202BF" w:rsidRPr="000202BF">
        <w:rPr>
          <w:rFonts w:asciiTheme="minorHAnsi" w:hAnsiTheme="minorHAnsi" w:cs="Microsoft Sans Serif"/>
          <w:b/>
          <w:bCs/>
          <w:sz w:val="22"/>
          <w:szCs w:val="22"/>
        </w:rPr>
        <w:t>enhanced</w:t>
      </w:r>
      <w:r w:rsidR="000202BF">
        <w:rPr>
          <w:rFonts w:asciiTheme="minorHAnsi" w:hAnsiTheme="minorHAnsi" w:cs="Microsoft Sans Serif"/>
          <w:sz w:val="22"/>
          <w:szCs w:val="22"/>
        </w:rPr>
        <w:t xml:space="preserve"> option creates the opportunity for wider use and greater income streams.</w:t>
      </w:r>
    </w:p>
    <w:p w14:paraId="164070B1" w14:textId="77777777" w:rsidR="005B0155" w:rsidRDefault="005B0155" w:rsidP="006F246D">
      <w:pPr>
        <w:ind w:left="283" w:right="283" w:firstLine="720"/>
        <w:jc w:val="both"/>
        <w:rPr>
          <w:rFonts w:asciiTheme="minorHAnsi" w:hAnsiTheme="minorHAnsi" w:cs="Microsoft Sans Serif"/>
          <w:b/>
          <w:bCs/>
          <w:sz w:val="22"/>
          <w:szCs w:val="22"/>
        </w:rPr>
      </w:pPr>
    </w:p>
    <w:p w14:paraId="343D1BEA" w14:textId="0CCC575E" w:rsidR="005B0155" w:rsidRDefault="00C90F14" w:rsidP="006F246D">
      <w:pPr>
        <w:ind w:left="283" w:right="283"/>
        <w:jc w:val="both"/>
        <w:rPr>
          <w:rFonts w:asciiTheme="minorHAnsi" w:hAnsiTheme="minorHAnsi" w:cs="Microsoft Sans Serif"/>
          <w:b/>
          <w:bCs/>
          <w:sz w:val="22"/>
          <w:szCs w:val="22"/>
        </w:rPr>
      </w:pPr>
      <w:r w:rsidRPr="00C90F14">
        <w:rPr>
          <w:rFonts w:asciiTheme="minorHAnsi" w:hAnsiTheme="minorHAnsi" w:cs="Microsoft Sans Serif"/>
          <w:b/>
          <w:bCs/>
          <w:sz w:val="22"/>
          <w:szCs w:val="22"/>
        </w:rPr>
        <w:t>Next Steps</w:t>
      </w:r>
    </w:p>
    <w:p w14:paraId="602C2CF5" w14:textId="695DDA48" w:rsidR="00C90F14" w:rsidRPr="005B0155" w:rsidRDefault="00C90F14" w:rsidP="006F246D">
      <w:pPr>
        <w:ind w:left="283" w:right="283"/>
        <w:jc w:val="both"/>
        <w:rPr>
          <w:rFonts w:asciiTheme="minorHAnsi" w:hAnsiTheme="minorHAnsi" w:cs="Microsoft Sans Serif"/>
          <w:b/>
          <w:bCs/>
          <w:sz w:val="22"/>
          <w:szCs w:val="22"/>
        </w:rPr>
      </w:pPr>
      <w:r>
        <w:rPr>
          <w:rFonts w:asciiTheme="minorHAnsi" w:hAnsiTheme="minorHAnsi" w:cs="Microsoft Sans Serif"/>
          <w:sz w:val="22"/>
          <w:szCs w:val="22"/>
        </w:rPr>
        <w:t xml:space="preserve">The study was undertaken for the benefit of the Island’s livestock sector and it is hoped the findings will inform and support interested </w:t>
      </w:r>
      <w:r w:rsidR="00A00377">
        <w:rPr>
          <w:rFonts w:asciiTheme="minorHAnsi" w:hAnsiTheme="minorHAnsi" w:cs="Microsoft Sans Serif"/>
          <w:sz w:val="22"/>
          <w:szCs w:val="22"/>
        </w:rPr>
        <w:t>individuals</w:t>
      </w:r>
      <w:r>
        <w:rPr>
          <w:rFonts w:asciiTheme="minorHAnsi" w:hAnsiTheme="minorHAnsi" w:cs="Microsoft Sans Serif"/>
          <w:sz w:val="22"/>
          <w:szCs w:val="22"/>
        </w:rPr>
        <w:t xml:space="preserve"> who may wish to establish a </w:t>
      </w:r>
      <w:r w:rsidR="000202BF">
        <w:rPr>
          <w:rFonts w:asciiTheme="minorHAnsi" w:hAnsiTheme="minorHAnsi" w:cs="Microsoft Sans Serif"/>
          <w:sz w:val="22"/>
          <w:szCs w:val="22"/>
        </w:rPr>
        <w:t>l</w:t>
      </w:r>
      <w:r>
        <w:rPr>
          <w:rFonts w:asciiTheme="minorHAnsi" w:hAnsiTheme="minorHAnsi" w:cs="Microsoft Sans Serif"/>
          <w:sz w:val="22"/>
          <w:szCs w:val="22"/>
        </w:rPr>
        <w:t xml:space="preserve">ivestock </w:t>
      </w:r>
      <w:r w:rsidR="000202BF">
        <w:rPr>
          <w:rFonts w:asciiTheme="minorHAnsi" w:hAnsiTheme="minorHAnsi" w:cs="Microsoft Sans Serif"/>
          <w:sz w:val="22"/>
          <w:szCs w:val="22"/>
        </w:rPr>
        <w:t>c</w:t>
      </w:r>
      <w:r>
        <w:rPr>
          <w:rFonts w:asciiTheme="minorHAnsi" w:hAnsiTheme="minorHAnsi" w:cs="Microsoft Sans Serif"/>
          <w:sz w:val="22"/>
          <w:szCs w:val="22"/>
        </w:rPr>
        <w:t xml:space="preserve">ollection </w:t>
      </w:r>
      <w:r w:rsidR="000202BF">
        <w:rPr>
          <w:rFonts w:asciiTheme="minorHAnsi" w:hAnsiTheme="minorHAnsi" w:cs="Microsoft Sans Serif"/>
          <w:sz w:val="22"/>
          <w:szCs w:val="22"/>
        </w:rPr>
        <w:t>c</w:t>
      </w:r>
      <w:r>
        <w:rPr>
          <w:rFonts w:asciiTheme="minorHAnsi" w:hAnsiTheme="minorHAnsi" w:cs="Microsoft Sans Serif"/>
          <w:sz w:val="22"/>
          <w:szCs w:val="22"/>
        </w:rPr>
        <w:t xml:space="preserve">entre on the Isle of Wight. </w:t>
      </w:r>
    </w:p>
    <w:p w14:paraId="70B03094" w14:textId="6B0F4304" w:rsidR="000202BF" w:rsidRDefault="00A00377" w:rsidP="006F246D">
      <w:pPr>
        <w:spacing w:before="100" w:beforeAutospacing="1"/>
        <w:ind w:left="283" w:right="283"/>
        <w:jc w:val="both"/>
        <w:rPr>
          <w:rFonts w:asciiTheme="minorHAnsi" w:hAnsiTheme="minorHAnsi" w:cs="Microsoft Sans Serif"/>
          <w:sz w:val="22"/>
          <w:szCs w:val="22"/>
        </w:rPr>
      </w:pPr>
      <w:r>
        <w:rPr>
          <w:rFonts w:asciiTheme="minorHAnsi" w:hAnsiTheme="minorHAnsi" w:cs="Microsoft Sans Serif"/>
          <w:sz w:val="22"/>
          <w:szCs w:val="22"/>
        </w:rPr>
        <w:t xml:space="preserve">The study </w:t>
      </w:r>
      <w:r w:rsidR="000202BF">
        <w:rPr>
          <w:rFonts w:asciiTheme="minorHAnsi" w:hAnsiTheme="minorHAnsi" w:cs="Microsoft Sans Serif"/>
          <w:sz w:val="22"/>
          <w:szCs w:val="22"/>
        </w:rPr>
        <w:t>is not intended to provide</w:t>
      </w:r>
      <w:r>
        <w:rPr>
          <w:rFonts w:asciiTheme="minorHAnsi" w:hAnsiTheme="minorHAnsi" w:cs="Microsoft Sans Serif"/>
          <w:sz w:val="22"/>
          <w:szCs w:val="22"/>
        </w:rPr>
        <w:t xml:space="preserve"> all the answers, many will be shaped by the location and operating model brought forward</w:t>
      </w:r>
      <w:r w:rsidR="00AC5D05">
        <w:rPr>
          <w:rFonts w:asciiTheme="minorHAnsi" w:hAnsiTheme="minorHAnsi" w:cs="Microsoft Sans Serif"/>
          <w:sz w:val="22"/>
          <w:szCs w:val="22"/>
        </w:rPr>
        <w:t>,</w:t>
      </w:r>
      <w:r>
        <w:rPr>
          <w:rFonts w:asciiTheme="minorHAnsi" w:hAnsiTheme="minorHAnsi" w:cs="Microsoft Sans Serif"/>
          <w:sz w:val="22"/>
          <w:szCs w:val="22"/>
        </w:rPr>
        <w:t xml:space="preserve"> but the </w:t>
      </w:r>
      <w:r w:rsidR="000202BF">
        <w:rPr>
          <w:rFonts w:asciiTheme="minorHAnsi" w:hAnsiTheme="minorHAnsi" w:cs="Microsoft Sans Serif"/>
          <w:sz w:val="22"/>
          <w:szCs w:val="22"/>
        </w:rPr>
        <w:t>partners hope</w:t>
      </w:r>
      <w:r>
        <w:rPr>
          <w:rFonts w:asciiTheme="minorHAnsi" w:hAnsiTheme="minorHAnsi" w:cs="Microsoft Sans Serif"/>
          <w:sz w:val="22"/>
          <w:szCs w:val="22"/>
        </w:rPr>
        <w:t xml:space="preserve"> that it provides an informed and strong evidence base.  </w:t>
      </w:r>
    </w:p>
    <w:p w14:paraId="47B11EA6" w14:textId="48572161" w:rsidR="000202BF" w:rsidRDefault="00C90F14" w:rsidP="000202BF">
      <w:pPr>
        <w:spacing w:before="100" w:beforeAutospacing="1"/>
        <w:ind w:left="283" w:right="283"/>
        <w:jc w:val="both"/>
        <w:rPr>
          <w:rFonts w:asciiTheme="minorHAnsi" w:hAnsiTheme="minorHAnsi" w:cs="Microsoft Sans Serif"/>
          <w:sz w:val="22"/>
          <w:szCs w:val="22"/>
        </w:rPr>
      </w:pPr>
      <w:r w:rsidRPr="00A00377">
        <w:rPr>
          <w:rFonts w:asciiTheme="minorHAnsi" w:hAnsiTheme="minorHAnsi" w:cs="Microsoft Sans Serif"/>
          <w:sz w:val="22"/>
          <w:szCs w:val="22"/>
        </w:rPr>
        <w:t xml:space="preserve">With </w:t>
      </w:r>
      <w:r w:rsidR="00A00377" w:rsidRPr="00A00377">
        <w:rPr>
          <w:rFonts w:asciiTheme="minorHAnsi" w:hAnsiTheme="minorHAnsi" w:cs="Microsoft Sans Serif"/>
          <w:sz w:val="22"/>
          <w:szCs w:val="22"/>
        </w:rPr>
        <w:t>the key</w:t>
      </w:r>
      <w:r w:rsidRPr="00A00377">
        <w:rPr>
          <w:rFonts w:asciiTheme="minorHAnsi" w:hAnsiTheme="minorHAnsi" w:cs="Microsoft Sans Serif"/>
          <w:sz w:val="22"/>
          <w:szCs w:val="22"/>
        </w:rPr>
        <w:t xml:space="preserve"> factors properly considered there would seem a good</w:t>
      </w:r>
      <w:r w:rsidR="00A00377">
        <w:rPr>
          <w:rFonts w:asciiTheme="minorHAnsi" w:hAnsiTheme="minorHAnsi" w:cs="Microsoft Sans Serif"/>
          <w:sz w:val="22"/>
          <w:szCs w:val="22"/>
        </w:rPr>
        <w:t xml:space="preserve"> case</w:t>
      </w:r>
      <w:r w:rsidRPr="00A00377">
        <w:rPr>
          <w:rFonts w:asciiTheme="minorHAnsi" w:hAnsiTheme="minorHAnsi" w:cs="Microsoft Sans Serif"/>
          <w:sz w:val="22"/>
          <w:szCs w:val="22"/>
        </w:rPr>
        <w:t xml:space="preserve"> for capital grant </w:t>
      </w:r>
      <w:r w:rsidR="00A00377">
        <w:rPr>
          <w:rFonts w:asciiTheme="minorHAnsi" w:hAnsiTheme="minorHAnsi" w:cs="Microsoft Sans Serif"/>
          <w:sz w:val="22"/>
          <w:szCs w:val="22"/>
        </w:rPr>
        <w:t>support</w:t>
      </w:r>
      <w:r w:rsidRPr="00A00377">
        <w:rPr>
          <w:rFonts w:asciiTheme="minorHAnsi" w:hAnsiTheme="minorHAnsi" w:cs="Microsoft Sans Serif"/>
          <w:sz w:val="22"/>
          <w:szCs w:val="22"/>
        </w:rPr>
        <w:t xml:space="preserve"> to </w:t>
      </w:r>
      <w:r w:rsidR="000202BF">
        <w:rPr>
          <w:rFonts w:asciiTheme="minorHAnsi" w:hAnsiTheme="minorHAnsi" w:cs="Microsoft Sans Serif"/>
          <w:sz w:val="22"/>
          <w:szCs w:val="22"/>
        </w:rPr>
        <w:t xml:space="preserve">assist the </w:t>
      </w:r>
      <w:r w:rsidRPr="00A00377">
        <w:rPr>
          <w:rFonts w:asciiTheme="minorHAnsi" w:hAnsiTheme="minorHAnsi" w:cs="Microsoft Sans Serif"/>
          <w:sz w:val="22"/>
          <w:szCs w:val="22"/>
        </w:rPr>
        <w:t>establish</w:t>
      </w:r>
      <w:r w:rsidR="004D309F">
        <w:rPr>
          <w:rFonts w:asciiTheme="minorHAnsi" w:hAnsiTheme="minorHAnsi" w:cs="Microsoft Sans Serif"/>
          <w:sz w:val="22"/>
          <w:szCs w:val="22"/>
        </w:rPr>
        <w:t>ment of</w:t>
      </w:r>
      <w:r w:rsidRPr="00A00377">
        <w:rPr>
          <w:rFonts w:asciiTheme="minorHAnsi" w:hAnsiTheme="minorHAnsi" w:cs="Microsoft Sans Serif"/>
          <w:sz w:val="22"/>
          <w:szCs w:val="22"/>
        </w:rPr>
        <w:t xml:space="preserve"> a </w:t>
      </w:r>
      <w:r w:rsidR="004D309F">
        <w:rPr>
          <w:rFonts w:asciiTheme="minorHAnsi" w:hAnsiTheme="minorHAnsi" w:cs="Microsoft Sans Serif"/>
          <w:sz w:val="22"/>
          <w:szCs w:val="22"/>
        </w:rPr>
        <w:t>sustainable</w:t>
      </w:r>
      <w:r w:rsidRPr="00A00377">
        <w:rPr>
          <w:rFonts w:asciiTheme="minorHAnsi" w:hAnsiTheme="minorHAnsi" w:cs="Microsoft Sans Serif"/>
          <w:sz w:val="22"/>
          <w:szCs w:val="22"/>
        </w:rPr>
        <w:t xml:space="preserve"> </w:t>
      </w:r>
      <w:r w:rsidR="00A00377">
        <w:rPr>
          <w:rFonts w:asciiTheme="minorHAnsi" w:hAnsiTheme="minorHAnsi" w:cs="Microsoft Sans Serif"/>
          <w:sz w:val="22"/>
          <w:szCs w:val="22"/>
        </w:rPr>
        <w:t>Is</w:t>
      </w:r>
      <w:r w:rsidR="00AC5D05">
        <w:rPr>
          <w:rFonts w:asciiTheme="minorHAnsi" w:hAnsiTheme="minorHAnsi" w:cs="Microsoft Sans Serif"/>
          <w:sz w:val="22"/>
          <w:szCs w:val="22"/>
        </w:rPr>
        <w:t>l</w:t>
      </w:r>
      <w:r w:rsidR="00A00377">
        <w:rPr>
          <w:rFonts w:asciiTheme="minorHAnsi" w:hAnsiTheme="minorHAnsi" w:cs="Microsoft Sans Serif"/>
          <w:sz w:val="22"/>
          <w:szCs w:val="22"/>
        </w:rPr>
        <w:t xml:space="preserve">e of Wight </w:t>
      </w:r>
      <w:r w:rsidR="000202BF">
        <w:rPr>
          <w:rFonts w:asciiTheme="minorHAnsi" w:hAnsiTheme="minorHAnsi" w:cs="Microsoft Sans Serif"/>
          <w:sz w:val="22"/>
          <w:szCs w:val="22"/>
        </w:rPr>
        <w:t>l</w:t>
      </w:r>
      <w:r w:rsidR="00A00377" w:rsidRPr="00A00377">
        <w:rPr>
          <w:rFonts w:asciiTheme="minorHAnsi" w:hAnsiTheme="minorHAnsi" w:cs="Microsoft Sans Serif"/>
          <w:sz w:val="22"/>
          <w:szCs w:val="22"/>
        </w:rPr>
        <w:t xml:space="preserve">ivestock </w:t>
      </w:r>
      <w:r w:rsidR="000202BF">
        <w:rPr>
          <w:rFonts w:asciiTheme="minorHAnsi" w:hAnsiTheme="minorHAnsi" w:cs="Microsoft Sans Serif"/>
          <w:sz w:val="22"/>
          <w:szCs w:val="22"/>
        </w:rPr>
        <w:t>c</w:t>
      </w:r>
      <w:r w:rsidR="00A00377" w:rsidRPr="00A00377">
        <w:rPr>
          <w:rFonts w:asciiTheme="minorHAnsi" w:hAnsiTheme="minorHAnsi" w:cs="Microsoft Sans Serif"/>
          <w:sz w:val="22"/>
          <w:szCs w:val="22"/>
        </w:rPr>
        <w:t xml:space="preserve">ollection </w:t>
      </w:r>
      <w:r w:rsidR="000202BF">
        <w:rPr>
          <w:rFonts w:asciiTheme="minorHAnsi" w:hAnsiTheme="minorHAnsi" w:cs="Microsoft Sans Serif"/>
          <w:sz w:val="22"/>
          <w:szCs w:val="22"/>
        </w:rPr>
        <w:t>c</w:t>
      </w:r>
      <w:r w:rsidR="00A00377" w:rsidRPr="00A00377">
        <w:rPr>
          <w:rFonts w:asciiTheme="minorHAnsi" w:hAnsiTheme="minorHAnsi" w:cs="Microsoft Sans Serif"/>
          <w:sz w:val="22"/>
          <w:szCs w:val="22"/>
        </w:rPr>
        <w:t>entre</w:t>
      </w:r>
      <w:r w:rsidRPr="00A00377">
        <w:rPr>
          <w:rFonts w:asciiTheme="minorHAnsi" w:hAnsiTheme="minorHAnsi" w:cs="Microsoft Sans Serif"/>
          <w:sz w:val="22"/>
          <w:szCs w:val="22"/>
        </w:rPr>
        <w:t xml:space="preserve">.  </w:t>
      </w:r>
    </w:p>
    <w:p w14:paraId="0B3669F3" w14:textId="0EB2DFD2" w:rsidR="00E07F14" w:rsidRDefault="00E07F14" w:rsidP="000202BF">
      <w:pPr>
        <w:spacing w:before="100" w:beforeAutospacing="1"/>
        <w:ind w:left="283" w:right="283"/>
        <w:jc w:val="both"/>
        <w:rPr>
          <w:rFonts w:asciiTheme="minorHAnsi" w:hAnsiTheme="minorHAnsi" w:cs="Microsoft Sans Serif"/>
          <w:sz w:val="22"/>
          <w:szCs w:val="22"/>
        </w:rPr>
      </w:pPr>
      <w:r>
        <w:rPr>
          <w:rFonts w:asciiTheme="minorHAnsi" w:hAnsiTheme="minorHAnsi" w:cs="Microsoft Sans Serif"/>
          <w:sz w:val="22"/>
          <w:szCs w:val="22"/>
        </w:rPr>
        <w:t>The partners are available to support any interested parties looking to take forward the findings of the study.</w:t>
      </w:r>
    </w:p>
    <w:p w14:paraId="55DFD83C" w14:textId="77777777" w:rsidR="006F246D" w:rsidRDefault="006F246D" w:rsidP="006F246D">
      <w:pPr>
        <w:spacing w:before="100" w:beforeAutospacing="1"/>
        <w:ind w:left="283" w:right="283"/>
        <w:jc w:val="both"/>
        <w:rPr>
          <w:rFonts w:asciiTheme="minorHAnsi" w:hAnsiTheme="minorHAnsi" w:cs="Microsoft Sans Serif"/>
          <w:sz w:val="22"/>
          <w:szCs w:val="2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8"/>
        <w:gridCol w:w="2988"/>
        <w:gridCol w:w="3010"/>
      </w:tblGrid>
      <w:tr w:rsidR="004B6887" w14:paraId="30233E5B" w14:textId="77777777" w:rsidTr="00A00377">
        <w:tc>
          <w:tcPr>
            <w:tcW w:w="3005" w:type="dxa"/>
          </w:tcPr>
          <w:p w14:paraId="382C75CF" w14:textId="2489EA46" w:rsidR="00A00377" w:rsidRDefault="009835F5" w:rsidP="006F246D">
            <w:pPr>
              <w:spacing w:before="100" w:beforeAutospacing="1"/>
              <w:ind w:right="283"/>
              <w:rPr>
                <w:rFonts w:asciiTheme="minorHAnsi" w:hAnsiTheme="minorHAnsi" w:cs="Microsoft Sans Serif"/>
                <w:sz w:val="22"/>
                <w:szCs w:val="22"/>
              </w:rPr>
            </w:pPr>
            <w:r>
              <w:rPr>
                <w:noProof/>
              </w:rPr>
              <w:drawing>
                <wp:inline distT="0" distB="0" distL="0" distR="0" wp14:anchorId="51E1EB7A" wp14:editId="349BC6A1">
                  <wp:extent cx="1390650" cy="437717"/>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0104" cy="456431"/>
                          </a:xfrm>
                          <a:prstGeom prst="rect">
                            <a:avLst/>
                          </a:prstGeom>
                          <a:noFill/>
                          <a:ln>
                            <a:noFill/>
                          </a:ln>
                        </pic:spPr>
                      </pic:pic>
                    </a:graphicData>
                  </a:graphic>
                </wp:inline>
              </w:drawing>
            </w:r>
          </w:p>
        </w:tc>
        <w:tc>
          <w:tcPr>
            <w:tcW w:w="3005" w:type="dxa"/>
          </w:tcPr>
          <w:p w14:paraId="1CB04BBC" w14:textId="15320931" w:rsidR="00A00377" w:rsidRDefault="00A00377" w:rsidP="006F246D">
            <w:pPr>
              <w:spacing w:before="100" w:beforeAutospacing="1"/>
              <w:ind w:left="283" w:right="283"/>
              <w:jc w:val="both"/>
              <w:rPr>
                <w:rFonts w:asciiTheme="minorHAnsi" w:hAnsiTheme="minorHAnsi" w:cs="Microsoft Sans Serif"/>
                <w:sz w:val="22"/>
                <w:szCs w:val="22"/>
              </w:rPr>
            </w:pPr>
            <w:r>
              <w:rPr>
                <w:noProof/>
              </w:rPr>
              <w:drawing>
                <wp:inline distT="0" distB="0" distL="0" distR="0" wp14:anchorId="23B69ABD" wp14:editId="02B85F04">
                  <wp:extent cx="1722120" cy="4114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22120" cy="411480"/>
                          </a:xfrm>
                          <a:prstGeom prst="rect">
                            <a:avLst/>
                          </a:prstGeom>
                          <a:noFill/>
                          <a:ln>
                            <a:noFill/>
                          </a:ln>
                        </pic:spPr>
                      </pic:pic>
                    </a:graphicData>
                  </a:graphic>
                </wp:inline>
              </w:drawing>
            </w:r>
          </w:p>
        </w:tc>
        <w:tc>
          <w:tcPr>
            <w:tcW w:w="3006" w:type="dxa"/>
          </w:tcPr>
          <w:p w14:paraId="3256345A" w14:textId="497D010E" w:rsidR="00A00377" w:rsidRDefault="00A00377" w:rsidP="006F246D">
            <w:pPr>
              <w:spacing w:before="100" w:beforeAutospacing="1"/>
              <w:ind w:left="283" w:right="283"/>
              <w:jc w:val="both"/>
              <w:rPr>
                <w:rFonts w:asciiTheme="minorHAnsi" w:hAnsiTheme="minorHAnsi" w:cs="Microsoft Sans Serif"/>
                <w:sz w:val="22"/>
                <w:szCs w:val="22"/>
              </w:rPr>
            </w:pPr>
            <w:r>
              <w:rPr>
                <w:noProof/>
              </w:rPr>
              <w:drawing>
                <wp:inline distT="0" distB="0" distL="0" distR="0" wp14:anchorId="69336D86" wp14:editId="33F9E77A">
                  <wp:extent cx="1738630" cy="556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38630" cy="556260"/>
                          </a:xfrm>
                          <a:prstGeom prst="rect">
                            <a:avLst/>
                          </a:prstGeom>
                          <a:noFill/>
                          <a:ln>
                            <a:noFill/>
                          </a:ln>
                        </pic:spPr>
                      </pic:pic>
                    </a:graphicData>
                  </a:graphic>
                </wp:inline>
              </w:drawing>
            </w:r>
          </w:p>
        </w:tc>
      </w:tr>
    </w:tbl>
    <w:p w14:paraId="1EA7D416" w14:textId="27F5E3E1" w:rsidR="00E47F04" w:rsidRPr="000202BF" w:rsidRDefault="000202BF" w:rsidP="000202BF">
      <w:pPr>
        <w:spacing w:before="100" w:beforeAutospacing="1"/>
        <w:jc w:val="right"/>
        <w:rPr>
          <w:rFonts w:asciiTheme="minorHAnsi" w:hAnsiTheme="minorHAnsi" w:cstheme="minorHAnsi"/>
          <w:sz w:val="22"/>
          <w:szCs w:val="22"/>
        </w:rPr>
      </w:pPr>
      <w:r w:rsidRPr="000202BF">
        <w:rPr>
          <w:rFonts w:asciiTheme="minorHAnsi" w:hAnsiTheme="minorHAnsi" w:cstheme="minorHAnsi"/>
          <w:sz w:val="22"/>
          <w:szCs w:val="22"/>
        </w:rPr>
        <w:t>November 2020</w:t>
      </w:r>
    </w:p>
    <w:sectPr w:rsidR="00E47F04" w:rsidRPr="000202B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7CA2F" w14:textId="77777777" w:rsidR="00E227D4" w:rsidRDefault="00E227D4" w:rsidP="00C90F14">
      <w:r>
        <w:separator/>
      </w:r>
    </w:p>
  </w:endnote>
  <w:endnote w:type="continuationSeparator" w:id="0">
    <w:p w14:paraId="0E27D345" w14:textId="77777777" w:rsidR="00E227D4" w:rsidRDefault="00E227D4" w:rsidP="00C90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Light">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DB345" w14:textId="77777777" w:rsidR="00C90F14" w:rsidRDefault="00C90F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9DA78" w14:textId="77777777" w:rsidR="00C90F14" w:rsidRDefault="00C90F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B31D2" w14:textId="77777777" w:rsidR="00C90F14" w:rsidRDefault="00C90F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947067" w14:textId="77777777" w:rsidR="00E227D4" w:rsidRDefault="00E227D4" w:rsidP="00C90F14">
      <w:r>
        <w:separator/>
      </w:r>
    </w:p>
  </w:footnote>
  <w:footnote w:type="continuationSeparator" w:id="0">
    <w:p w14:paraId="252267B1" w14:textId="77777777" w:rsidR="00E227D4" w:rsidRDefault="00E227D4" w:rsidP="00C90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16F7F" w14:textId="77777777" w:rsidR="00C90F14" w:rsidRDefault="00C90F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29622" w14:textId="71AC3AB0" w:rsidR="00C90F14" w:rsidRDefault="00C90F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2020B" w14:textId="77777777" w:rsidR="00C90F14" w:rsidRDefault="00C90F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D4530"/>
    <w:multiLevelType w:val="hybridMultilevel"/>
    <w:tmpl w:val="FC90C4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51C046E"/>
    <w:multiLevelType w:val="hybridMultilevel"/>
    <w:tmpl w:val="23EA1C2E"/>
    <w:lvl w:ilvl="0" w:tplc="08090001">
      <w:start w:val="1"/>
      <w:numFmt w:val="bullet"/>
      <w:lvlText w:val=""/>
      <w:lvlJc w:val="left"/>
      <w:pPr>
        <w:ind w:left="2553" w:hanging="360"/>
      </w:pPr>
      <w:rPr>
        <w:rFonts w:ascii="Symbol" w:hAnsi="Symbol" w:hint="default"/>
      </w:rPr>
    </w:lvl>
    <w:lvl w:ilvl="1" w:tplc="08090003" w:tentative="1">
      <w:start w:val="1"/>
      <w:numFmt w:val="bullet"/>
      <w:lvlText w:val="o"/>
      <w:lvlJc w:val="left"/>
      <w:pPr>
        <w:ind w:left="3273" w:hanging="360"/>
      </w:pPr>
      <w:rPr>
        <w:rFonts w:ascii="Courier New" w:hAnsi="Courier New" w:cs="Courier New" w:hint="default"/>
      </w:rPr>
    </w:lvl>
    <w:lvl w:ilvl="2" w:tplc="08090005" w:tentative="1">
      <w:start w:val="1"/>
      <w:numFmt w:val="bullet"/>
      <w:lvlText w:val=""/>
      <w:lvlJc w:val="left"/>
      <w:pPr>
        <w:ind w:left="3993" w:hanging="360"/>
      </w:pPr>
      <w:rPr>
        <w:rFonts w:ascii="Wingdings" w:hAnsi="Wingdings" w:hint="default"/>
      </w:rPr>
    </w:lvl>
    <w:lvl w:ilvl="3" w:tplc="08090001" w:tentative="1">
      <w:start w:val="1"/>
      <w:numFmt w:val="bullet"/>
      <w:lvlText w:val=""/>
      <w:lvlJc w:val="left"/>
      <w:pPr>
        <w:ind w:left="4713" w:hanging="360"/>
      </w:pPr>
      <w:rPr>
        <w:rFonts w:ascii="Symbol" w:hAnsi="Symbol" w:hint="default"/>
      </w:rPr>
    </w:lvl>
    <w:lvl w:ilvl="4" w:tplc="08090003" w:tentative="1">
      <w:start w:val="1"/>
      <w:numFmt w:val="bullet"/>
      <w:lvlText w:val="o"/>
      <w:lvlJc w:val="left"/>
      <w:pPr>
        <w:ind w:left="5433" w:hanging="360"/>
      </w:pPr>
      <w:rPr>
        <w:rFonts w:ascii="Courier New" w:hAnsi="Courier New" w:cs="Courier New" w:hint="default"/>
      </w:rPr>
    </w:lvl>
    <w:lvl w:ilvl="5" w:tplc="08090005" w:tentative="1">
      <w:start w:val="1"/>
      <w:numFmt w:val="bullet"/>
      <w:lvlText w:val=""/>
      <w:lvlJc w:val="left"/>
      <w:pPr>
        <w:ind w:left="6153" w:hanging="360"/>
      </w:pPr>
      <w:rPr>
        <w:rFonts w:ascii="Wingdings" w:hAnsi="Wingdings" w:hint="default"/>
      </w:rPr>
    </w:lvl>
    <w:lvl w:ilvl="6" w:tplc="08090001" w:tentative="1">
      <w:start w:val="1"/>
      <w:numFmt w:val="bullet"/>
      <w:lvlText w:val=""/>
      <w:lvlJc w:val="left"/>
      <w:pPr>
        <w:ind w:left="6873" w:hanging="360"/>
      </w:pPr>
      <w:rPr>
        <w:rFonts w:ascii="Symbol" w:hAnsi="Symbol" w:hint="default"/>
      </w:rPr>
    </w:lvl>
    <w:lvl w:ilvl="7" w:tplc="08090003" w:tentative="1">
      <w:start w:val="1"/>
      <w:numFmt w:val="bullet"/>
      <w:lvlText w:val="o"/>
      <w:lvlJc w:val="left"/>
      <w:pPr>
        <w:ind w:left="7593" w:hanging="360"/>
      </w:pPr>
      <w:rPr>
        <w:rFonts w:ascii="Courier New" w:hAnsi="Courier New" w:cs="Courier New" w:hint="default"/>
      </w:rPr>
    </w:lvl>
    <w:lvl w:ilvl="8" w:tplc="08090005" w:tentative="1">
      <w:start w:val="1"/>
      <w:numFmt w:val="bullet"/>
      <w:lvlText w:val=""/>
      <w:lvlJc w:val="left"/>
      <w:pPr>
        <w:ind w:left="8313" w:hanging="360"/>
      </w:pPr>
      <w:rPr>
        <w:rFonts w:ascii="Wingdings" w:hAnsi="Wingdings" w:hint="default"/>
      </w:rPr>
    </w:lvl>
  </w:abstractNum>
  <w:abstractNum w:abstractNumId="2" w15:restartNumberingAfterBreak="0">
    <w:nsid w:val="35245607"/>
    <w:multiLevelType w:val="multilevel"/>
    <w:tmpl w:val="E3249F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42E4984"/>
    <w:multiLevelType w:val="hybridMultilevel"/>
    <w:tmpl w:val="FDCCFF0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 w15:restartNumberingAfterBreak="0">
    <w:nsid w:val="59903388"/>
    <w:multiLevelType w:val="multilevel"/>
    <w:tmpl w:val="66762C98"/>
    <w:lvl w:ilvl="0">
      <w:start w:val="1"/>
      <w:numFmt w:val="decimal"/>
      <w:pStyle w:val="Heading1"/>
      <w:lvlText w:val="%1."/>
      <w:lvlJc w:val="left"/>
      <w:pPr>
        <w:tabs>
          <w:tab w:val="num" w:pos="851"/>
        </w:tabs>
        <w:ind w:left="851" w:hanging="851"/>
      </w:pPr>
      <w:rPr>
        <w:rFonts w:asciiTheme="minorHAnsi" w:hAnsiTheme="minorHAnsi" w:hint="default"/>
        <w:b/>
        <w:i w:val="0"/>
        <w:sz w:val="22"/>
        <w:szCs w:val="22"/>
      </w:rPr>
    </w:lvl>
    <w:lvl w:ilvl="1">
      <w:start w:val="1"/>
      <w:numFmt w:val="decimal"/>
      <w:pStyle w:val="Heading2"/>
      <w:lvlText w:val="%1.%2"/>
      <w:lvlJc w:val="left"/>
      <w:pPr>
        <w:tabs>
          <w:tab w:val="num" w:pos="3970"/>
        </w:tabs>
        <w:ind w:left="3970" w:hanging="851"/>
      </w:pPr>
      <w:rPr>
        <w:rFonts w:asciiTheme="minorHAnsi" w:hAnsiTheme="minorHAnsi" w:hint="default"/>
        <w:b w:val="0"/>
        <w:i w:val="0"/>
        <w:sz w:val="22"/>
        <w:szCs w:val="22"/>
      </w:rPr>
    </w:lvl>
    <w:lvl w:ilvl="2">
      <w:start w:val="1"/>
      <w:numFmt w:val="decimal"/>
      <w:lvlText w:val="%1.%2.%3"/>
      <w:lvlJc w:val="left"/>
      <w:pPr>
        <w:tabs>
          <w:tab w:val="num" w:pos="852"/>
        </w:tabs>
        <w:ind w:left="1532" w:hanging="681"/>
      </w:pPr>
      <w:rPr>
        <w:rFonts w:asciiTheme="minorHAnsi" w:hAnsiTheme="minorHAnsi" w:hint="default"/>
        <w:b/>
        <w:i w:val="0"/>
        <w:sz w:val="22"/>
        <w:szCs w:val="22"/>
      </w:rPr>
    </w:lvl>
    <w:lvl w:ilvl="3">
      <w:start w:val="1"/>
      <w:numFmt w:val="bullet"/>
      <w:pStyle w:val="Heading4"/>
      <w:lvlText w:val=""/>
      <w:lvlJc w:val="left"/>
      <w:pPr>
        <w:tabs>
          <w:tab w:val="num" w:pos="2552"/>
        </w:tabs>
        <w:ind w:left="2552" w:hanging="454"/>
      </w:pPr>
      <w:rPr>
        <w:rFonts w:ascii="Symbol" w:hAnsi="Symbol" w:hint="default"/>
        <w:color w:val="auto"/>
      </w:rPr>
    </w:lvl>
    <w:lvl w:ilvl="4">
      <w:start w:val="1"/>
      <w:numFmt w:val="decimal"/>
      <w:lvlText w:val="%1.%2.%3.%4.%5."/>
      <w:lvlJc w:val="left"/>
      <w:pPr>
        <w:tabs>
          <w:tab w:val="num" w:pos="4014"/>
        </w:tabs>
        <w:ind w:left="3366" w:hanging="792"/>
      </w:pPr>
      <w:rPr>
        <w:rFonts w:hint="default"/>
      </w:rPr>
    </w:lvl>
    <w:lvl w:ilvl="5">
      <w:start w:val="1"/>
      <w:numFmt w:val="decimal"/>
      <w:lvlText w:val="%1.%2.%3.%4.%5.%6."/>
      <w:lvlJc w:val="left"/>
      <w:pPr>
        <w:tabs>
          <w:tab w:val="num" w:pos="4374"/>
        </w:tabs>
        <w:ind w:left="3870" w:hanging="936"/>
      </w:pPr>
      <w:rPr>
        <w:rFonts w:hint="default"/>
      </w:rPr>
    </w:lvl>
    <w:lvl w:ilvl="6">
      <w:start w:val="1"/>
      <w:numFmt w:val="decimal"/>
      <w:lvlText w:val="%1.%2.%3.%4.%5.%6.%7."/>
      <w:lvlJc w:val="left"/>
      <w:pPr>
        <w:tabs>
          <w:tab w:val="num" w:pos="5094"/>
        </w:tabs>
        <w:ind w:left="4374" w:hanging="1080"/>
      </w:pPr>
      <w:rPr>
        <w:rFonts w:hint="default"/>
      </w:rPr>
    </w:lvl>
    <w:lvl w:ilvl="7">
      <w:start w:val="1"/>
      <w:numFmt w:val="decimal"/>
      <w:lvlText w:val="%1.%2.%3.%4.%5.%6.%7.%8."/>
      <w:lvlJc w:val="left"/>
      <w:pPr>
        <w:tabs>
          <w:tab w:val="num" w:pos="5814"/>
        </w:tabs>
        <w:ind w:left="4878" w:hanging="1224"/>
      </w:pPr>
      <w:rPr>
        <w:rFonts w:hint="default"/>
      </w:rPr>
    </w:lvl>
    <w:lvl w:ilvl="8">
      <w:start w:val="1"/>
      <w:numFmt w:val="decimal"/>
      <w:lvlText w:val="%1.%2.%3.%4.%5.%6.%7.%8.%9."/>
      <w:lvlJc w:val="left"/>
      <w:pPr>
        <w:tabs>
          <w:tab w:val="num" w:pos="6174"/>
        </w:tabs>
        <w:ind w:left="5454" w:hanging="1440"/>
      </w:pPr>
      <w:rPr>
        <w:rFonts w:hint="default"/>
      </w:rPr>
    </w:lvl>
  </w:abstractNum>
  <w:abstractNum w:abstractNumId="5" w15:restartNumberingAfterBreak="0">
    <w:nsid w:val="72917716"/>
    <w:multiLevelType w:val="hybridMultilevel"/>
    <w:tmpl w:val="997254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2C82E77"/>
    <w:multiLevelType w:val="hybridMultilevel"/>
    <w:tmpl w:val="7A1AAE04"/>
    <w:lvl w:ilvl="0" w:tplc="08090001">
      <w:start w:val="1"/>
      <w:numFmt w:val="bullet"/>
      <w:lvlText w:val=""/>
      <w:lvlJc w:val="left"/>
      <w:pPr>
        <w:ind w:left="369" w:hanging="360"/>
      </w:pPr>
      <w:rPr>
        <w:rFonts w:ascii="Symbol" w:hAnsi="Symbol" w:hint="default"/>
      </w:rPr>
    </w:lvl>
    <w:lvl w:ilvl="1" w:tplc="08090003" w:tentative="1">
      <w:start w:val="1"/>
      <w:numFmt w:val="bullet"/>
      <w:lvlText w:val="o"/>
      <w:lvlJc w:val="left"/>
      <w:pPr>
        <w:ind w:left="1089" w:hanging="360"/>
      </w:pPr>
      <w:rPr>
        <w:rFonts w:ascii="Courier New" w:hAnsi="Courier New" w:cs="Courier New" w:hint="default"/>
      </w:rPr>
    </w:lvl>
    <w:lvl w:ilvl="2" w:tplc="08090005" w:tentative="1">
      <w:start w:val="1"/>
      <w:numFmt w:val="bullet"/>
      <w:lvlText w:val=""/>
      <w:lvlJc w:val="left"/>
      <w:pPr>
        <w:ind w:left="1809" w:hanging="360"/>
      </w:pPr>
      <w:rPr>
        <w:rFonts w:ascii="Wingdings" w:hAnsi="Wingdings" w:hint="default"/>
      </w:rPr>
    </w:lvl>
    <w:lvl w:ilvl="3" w:tplc="08090001" w:tentative="1">
      <w:start w:val="1"/>
      <w:numFmt w:val="bullet"/>
      <w:lvlText w:val=""/>
      <w:lvlJc w:val="left"/>
      <w:pPr>
        <w:ind w:left="2529" w:hanging="360"/>
      </w:pPr>
      <w:rPr>
        <w:rFonts w:ascii="Symbol" w:hAnsi="Symbol" w:hint="default"/>
      </w:rPr>
    </w:lvl>
    <w:lvl w:ilvl="4" w:tplc="08090003" w:tentative="1">
      <w:start w:val="1"/>
      <w:numFmt w:val="bullet"/>
      <w:lvlText w:val="o"/>
      <w:lvlJc w:val="left"/>
      <w:pPr>
        <w:ind w:left="3249" w:hanging="360"/>
      </w:pPr>
      <w:rPr>
        <w:rFonts w:ascii="Courier New" w:hAnsi="Courier New" w:cs="Courier New" w:hint="default"/>
      </w:rPr>
    </w:lvl>
    <w:lvl w:ilvl="5" w:tplc="08090005" w:tentative="1">
      <w:start w:val="1"/>
      <w:numFmt w:val="bullet"/>
      <w:lvlText w:val=""/>
      <w:lvlJc w:val="left"/>
      <w:pPr>
        <w:ind w:left="3969" w:hanging="360"/>
      </w:pPr>
      <w:rPr>
        <w:rFonts w:ascii="Wingdings" w:hAnsi="Wingdings" w:hint="default"/>
      </w:rPr>
    </w:lvl>
    <w:lvl w:ilvl="6" w:tplc="08090001" w:tentative="1">
      <w:start w:val="1"/>
      <w:numFmt w:val="bullet"/>
      <w:lvlText w:val=""/>
      <w:lvlJc w:val="left"/>
      <w:pPr>
        <w:ind w:left="4689" w:hanging="360"/>
      </w:pPr>
      <w:rPr>
        <w:rFonts w:ascii="Symbol" w:hAnsi="Symbol" w:hint="default"/>
      </w:rPr>
    </w:lvl>
    <w:lvl w:ilvl="7" w:tplc="08090003" w:tentative="1">
      <w:start w:val="1"/>
      <w:numFmt w:val="bullet"/>
      <w:lvlText w:val="o"/>
      <w:lvlJc w:val="left"/>
      <w:pPr>
        <w:ind w:left="5409" w:hanging="360"/>
      </w:pPr>
      <w:rPr>
        <w:rFonts w:ascii="Courier New" w:hAnsi="Courier New" w:cs="Courier New" w:hint="default"/>
      </w:rPr>
    </w:lvl>
    <w:lvl w:ilvl="8" w:tplc="08090005" w:tentative="1">
      <w:start w:val="1"/>
      <w:numFmt w:val="bullet"/>
      <w:lvlText w:val=""/>
      <w:lvlJc w:val="left"/>
      <w:pPr>
        <w:ind w:left="6129" w:hanging="360"/>
      </w:pPr>
      <w:rPr>
        <w:rFonts w:ascii="Wingdings" w:hAnsi="Wingdings" w:hint="default"/>
      </w:rPr>
    </w:lvl>
  </w:abstractNum>
  <w:num w:numId="1">
    <w:abstractNumId w:val="3"/>
  </w:num>
  <w:num w:numId="2">
    <w:abstractNumId w:val="4"/>
  </w:num>
  <w:num w:numId="3">
    <w:abstractNumId w:val="2"/>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F04"/>
    <w:rsid w:val="000202BF"/>
    <w:rsid w:val="001978EC"/>
    <w:rsid w:val="00280ADE"/>
    <w:rsid w:val="002A32E6"/>
    <w:rsid w:val="002B7577"/>
    <w:rsid w:val="003062B1"/>
    <w:rsid w:val="004B6887"/>
    <w:rsid w:val="004D309F"/>
    <w:rsid w:val="005B0155"/>
    <w:rsid w:val="005E02B3"/>
    <w:rsid w:val="006F246D"/>
    <w:rsid w:val="00822505"/>
    <w:rsid w:val="008D3F5C"/>
    <w:rsid w:val="009835F5"/>
    <w:rsid w:val="00986222"/>
    <w:rsid w:val="009D3CCA"/>
    <w:rsid w:val="00A00377"/>
    <w:rsid w:val="00AC5D05"/>
    <w:rsid w:val="00B417CD"/>
    <w:rsid w:val="00BE314A"/>
    <w:rsid w:val="00C90F14"/>
    <w:rsid w:val="00D372FC"/>
    <w:rsid w:val="00D51C2E"/>
    <w:rsid w:val="00E07F14"/>
    <w:rsid w:val="00E227D4"/>
    <w:rsid w:val="00E47F04"/>
    <w:rsid w:val="00E843D2"/>
    <w:rsid w:val="00F04679"/>
    <w:rsid w:val="00F53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D63BF"/>
  <w15:chartTrackingRefBased/>
  <w15:docId w15:val="{49B04414-8680-4CCA-AE71-CEABA3152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F04"/>
    <w:pPr>
      <w:spacing w:after="0" w:line="240" w:lineRule="auto"/>
    </w:pPr>
    <w:rPr>
      <w:rFonts w:ascii="Helvetica Light" w:eastAsia="Times New Roman" w:hAnsi="Helvetica Light" w:cs="Times New Roman"/>
      <w:sz w:val="20"/>
      <w:szCs w:val="24"/>
    </w:rPr>
  </w:style>
  <w:style w:type="paragraph" w:styleId="Heading1">
    <w:name w:val="heading 1"/>
    <w:basedOn w:val="Normal"/>
    <w:next w:val="Normal"/>
    <w:link w:val="Heading1Char"/>
    <w:qFormat/>
    <w:rsid w:val="00E47F04"/>
    <w:pPr>
      <w:keepNext/>
      <w:numPr>
        <w:numId w:val="2"/>
      </w:numPr>
      <w:pBdr>
        <w:bottom w:val="single" w:sz="18" w:space="4" w:color="auto"/>
      </w:pBdr>
      <w:spacing w:before="120" w:after="120"/>
      <w:outlineLvl w:val="0"/>
    </w:pPr>
    <w:rPr>
      <w:b/>
      <w:sz w:val="24"/>
    </w:rPr>
  </w:style>
  <w:style w:type="paragraph" w:styleId="Heading2">
    <w:name w:val="heading 2"/>
    <w:basedOn w:val="Normal"/>
    <w:next w:val="Normal"/>
    <w:link w:val="Heading2Char"/>
    <w:qFormat/>
    <w:rsid w:val="00E47F04"/>
    <w:pPr>
      <w:keepNext/>
      <w:numPr>
        <w:ilvl w:val="1"/>
        <w:numId w:val="2"/>
      </w:numPr>
      <w:spacing w:before="120" w:after="120" w:line="360" w:lineRule="auto"/>
      <w:outlineLvl w:val="1"/>
    </w:pPr>
    <w:rPr>
      <w:rFonts w:cs="Arial"/>
      <w:bCs/>
      <w:iCs/>
      <w:szCs w:val="28"/>
    </w:rPr>
  </w:style>
  <w:style w:type="paragraph" w:styleId="Heading4">
    <w:name w:val="heading 4"/>
    <w:basedOn w:val="Normal"/>
    <w:next w:val="Normal"/>
    <w:link w:val="Heading4Char"/>
    <w:qFormat/>
    <w:rsid w:val="00E47F04"/>
    <w:pPr>
      <w:keepNext/>
      <w:numPr>
        <w:ilvl w:val="3"/>
        <w:numId w:val="2"/>
      </w:numPr>
      <w:spacing w:before="120" w:after="120"/>
      <w:outlineLvl w:val="3"/>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F04"/>
    <w:pPr>
      <w:ind w:left="720"/>
      <w:contextualSpacing/>
    </w:pPr>
  </w:style>
  <w:style w:type="character" w:customStyle="1" w:styleId="Heading1Char">
    <w:name w:val="Heading 1 Char"/>
    <w:basedOn w:val="DefaultParagraphFont"/>
    <w:link w:val="Heading1"/>
    <w:rsid w:val="00E47F04"/>
    <w:rPr>
      <w:rFonts w:ascii="Helvetica Light" w:eastAsia="Times New Roman" w:hAnsi="Helvetica Light" w:cs="Times New Roman"/>
      <w:b/>
      <w:sz w:val="24"/>
      <w:szCs w:val="24"/>
    </w:rPr>
  </w:style>
  <w:style w:type="character" w:customStyle="1" w:styleId="Heading2Char">
    <w:name w:val="Heading 2 Char"/>
    <w:basedOn w:val="DefaultParagraphFont"/>
    <w:link w:val="Heading2"/>
    <w:rsid w:val="00E47F04"/>
    <w:rPr>
      <w:rFonts w:ascii="Helvetica Light" w:eastAsia="Times New Roman" w:hAnsi="Helvetica Light" w:cs="Arial"/>
      <w:bCs/>
      <w:iCs/>
      <w:sz w:val="20"/>
      <w:szCs w:val="28"/>
    </w:rPr>
  </w:style>
  <w:style w:type="character" w:customStyle="1" w:styleId="Heading4Char">
    <w:name w:val="Heading 4 Char"/>
    <w:basedOn w:val="DefaultParagraphFont"/>
    <w:link w:val="Heading4"/>
    <w:rsid w:val="00E47F04"/>
    <w:rPr>
      <w:rFonts w:ascii="Helvetica Light" w:eastAsia="Times New Roman" w:hAnsi="Helvetica Light" w:cs="Times New Roman"/>
      <w:bCs/>
      <w:sz w:val="20"/>
      <w:szCs w:val="24"/>
    </w:rPr>
  </w:style>
  <w:style w:type="character" w:styleId="Hyperlink">
    <w:name w:val="Hyperlink"/>
    <w:basedOn w:val="DefaultParagraphFont"/>
    <w:uiPriority w:val="99"/>
    <w:unhideWhenUsed/>
    <w:rsid w:val="00C90F14"/>
    <w:rPr>
      <w:color w:val="0563C1" w:themeColor="hyperlink"/>
      <w:u w:val="single"/>
    </w:rPr>
  </w:style>
  <w:style w:type="character" w:styleId="UnresolvedMention">
    <w:name w:val="Unresolved Mention"/>
    <w:basedOn w:val="DefaultParagraphFont"/>
    <w:uiPriority w:val="99"/>
    <w:semiHidden/>
    <w:unhideWhenUsed/>
    <w:rsid w:val="00C90F14"/>
    <w:rPr>
      <w:color w:val="605E5C"/>
      <w:shd w:val="clear" w:color="auto" w:fill="E1DFDD"/>
    </w:rPr>
  </w:style>
  <w:style w:type="paragraph" w:styleId="Header">
    <w:name w:val="header"/>
    <w:basedOn w:val="Normal"/>
    <w:link w:val="HeaderChar"/>
    <w:uiPriority w:val="99"/>
    <w:unhideWhenUsed/>
    <w:rsid w:val="00C90F14"/>
    <w:pPr>
      <w:tabs>
        <w:tab w:val="center" w:pos="4513"/>
        <w:tab w:val="right" w:pos="9026"/>
      </w:tabs>
    </w:pPr>
  </w:style>
  <w:style w:type="character" w:customStyle="1" w:styleId="HeaderChar">
    <w:name w:val="Header Char"/>
    <w:basedOn w:val="DefaultParagraphFont"/>
    <w:link w:val="Header"/>
    <w:uiPriority w:val="99"/>
    <w:rsid w:val="00C90F14"/>
    <w:rPr>
      <w:rFonts w:ascii="Helvetica Light" w:eastAsia="Times New Roman" w:hAnsi="Helvetica Light" w:cs="Times New Roman"/>
      <w:sz w:val="20"/>
      <w:szCs w:val="24"/>
    </w:rPr>
  </w:style>
  <w:style w:type="paragraph" w:styleId="Footer">
    <w:name w:val="footer"/>
    <w:basedOn w:val="Normal"/>
    <w:link w:val="FooterChar"/>
    <w:uiPriority w:val="99"/>
    <w:unhideWhenUsed/>
    <w:rsid w:val="00C90F14"/>
    <w:pPr>
      <w:tabs>
        <w:tab w:val="center" w:pos="4513"/>
        <w:tab w:val="right" w:pos="9026"/>
      </w:tabs>
    </w:pPr>
  </w:style>
  <w:style w:type="character" w:customStyle="1" w:styleId="FooterChar">
    <w:name w:val="Footer Char"/>
    <w:basedOn w:val="DefaultParagraphFont"/>
    <w:link w:val="Footer"/>
    <w:uiPriority w:val="99"/>
    <w:rsid w:val="00C90F14"/>
    <w:rPr>
      <w:rFonts w:ascii="Helvetica Light" w:eastAsia="Times New Roman" w:hAnsi="Helvetica Light" w:cs="Times New Roman"/>
      <w:sz w:val="20"/>
      <w:szCs w:val="24"/>
    </w:rPr>
  </w:style>
  <w:style w:type="table" w:styleId="TableGrid">
    <w:name w:val="Table Grid"/>
    <w:basedOn w:val="TableNormal"/>
    <w:uiPriority w:val="39"/>
    <w:rsid w:val="00A00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tif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riwas.org.uk"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409A8A7D9AD648AFE01A718C6AE380" ma:contentTypeVersion="10" ma:contentTypeDescription="Create a new document." ma:contentTypeScope="" ma:versionID="9a478f8dc6fa89952dcd7ab0dc0f1d4b">
  <xsd:schema xmlns:xsd="http://www.w3.org/2001/XMLSchema" xmlns:xs="http://www.w3.org/2001/XMLSchema" xmlns:p="http://schemas.microsoft.com/office/2006/metadata/properties" xmlns:ns2="9648e2cf-4a9b-485d-96de-6ac43fb9c6e7" targetNamespace="http://schemas.microsoft.com/office/2006/metadata/properties" ma:root="true" ma:fieldsID="7d9484f5677b8fed23ecec2f98cdb4b9" ns2:_="">
    <xsd:import namespace="9648e2cf-4a9b-485d-96de-6ac43fb9c6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48e2cf-4a9b-485d-96de-6ac43fb9c6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81FE75-BA0D-4F7C-A45D-74AE56ACD774}">
  <ds:schemaRefs>
    <ds:schemaRef ds:uri="http://schemas.microsoft.com/sharepoint/v3/contenttype/forms"/>
  </ds:schemaRefs>
</ds:datastoreItem>
</file>

<file path=customXml/itemProps2.xml><?xml version="1.0" encoding="utf-8"?>
<ds:datastoreItem xmlns:ds="http://schemas.openxmlformats.org/officeDocument/2006/customXml" ds:itemID="{96B6DC5F-9040-452F-8DB4-6DE6C3E2C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48e2cf-4a9b-485d-96de-6ac43fb9c6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2A5617-C20B-4054-8BBC-04EB47749C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Biss</dc:creator>
  <cp:keywords/>
  <dc:description/>
  <cp:lastModifiedBy>Graham Biss</cp:lastModifiedBy>
  <cp:revision>9</cp:revision>
  <cp:lastPrinted>2020-12-01T14:55:00Z</cp:lastPrinted>
  <dcterms:created xsi:type="dcterms:W3CDTF">2020-12-01T14:56:00Z</dcterms:created>
  <dcterms:modified xsi:type="dcterms:W3CDTF">2020-12-01T15:11:00Z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0x0101003D409A8A7D9AD648AFE01A718C6AE380</vt:lpwstr>
  </property>
</Properties>
</file>